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宋体" w:cs="Times New Roman"/>
          <w:color w:val="4A4949"/>
          <w:kern w:val="0"/>
          <w:sz w:val="28"/>
          <w:szCs w:val="28"/>
          <w:lang w:val="en-US" w:eastAsia="zh-CN"/>
        </w:rPr>
      </w:pPr>
    </w:p>
    <w:p>
      <w:pPr>
        <w:widowControl/>
        <w:jc w:val="center"/>
        <w:rPr>
          <w:rFonts w:hint="default" w:ascii="Times New Roman" w:hAnsi="Times New Roman" w:eastAsia="宋体" w:cs="Times New Roman"/>
          <w:color w:val="4A4949"/>
          <w:kern w:val="0"/>
          <w:sz w:val="28"/>
          <w:szCs w:val="28"/>
          <w:lang w:val="en-US" w:eastAsia="zh-CN"/>
        </w:rPr>
      </w:pPr>
    </w:p>
    <w:p>
      <w:pPr>
        <w:widowControl/>
        <w:jc w:val="center"/>
        <w:rPr>
          <w:rFonts w:hint="default" w:ascii="Times New Roman" w:hAnsi="Times New Roman" w:eastAsia="宋体" w:cs="Times New Roman"/>
          <w:color w:val="4A4949"/>
          <w:kern w:val="0"/>
          <w:sz w:val="28"/>
          <w:szCs w:val="28"/>
          <w:lang w:val="en-US" w:eastAsia="zh-CN"/>
        </w:rPr>
      </w:pPr>
    </w:p>
    <w:p>
      <w:pPr>
        <w:widowControl/>
        <w:jc w:val="center"/>
        <w:rPr>
          <w:rFonts w:hint="default" w:ascii="Times New Roman" w:hAnsi="Times New Roman" w:eastAsia="宋体" w:cs="Times New Roman"/>
          <w:color w:val="4A4949"/>
          <w:kern w:val="0"/>
          <w:sz w:val="28"/>
          <w:szCs w:val="28"/>
          <w:lang w:val="en-US" w:eastAsia="zh-CN"/>
        </w:rPr>
      </w:pPr>
    </w:p>
    <w:p>
      <w:pPr>
        <w:widowControl/>
        <w:jc w:val="center"/>
        <w:rPr>
          <w:rFonts w:hint="default" w:ascii="Times New Roman" w:hAnsi="Times New Roman" w:eastAsia="宋体" w:cs="Times New Roman"/>
          <w:b/>
          <w:bCs/>
          <w:color w:val="4A4949"/>
          <w:kern w:val="0"/>
          <w:sz w:val="32"/>
          <w:szCs w:val="32"/>
          <w:lang w:val="en-US" w:eastAsia="zh-CN"/>
        </w:rPr>
      </w:pPr>
    </w:p>
    <w:p>
      <w:pPr>
        <w:widowControl/>
        <w:jc w:val="center"/>
        <w:rPr>
          <w:rFonts w:hint="default" w:ascii="Times New Roman" w:hAnsi="Times New Roman" w:eastAsia="宋体" w:cs="Times New Roman"/>
          <w:b/>
          <w:bCs/>
          <w:color w:val="4A4949"/>
          <w:kern w:val="0"/>
          <w:sz w:val="32"/>
          <w:szCs w:val="32"/>
          <w:lang w:val="en-US" w:eastAsia="zh-CN"/>
        </w:rPr>
      </w:pPr>
      <w:r>
        <w:rPr>
          <w:rFonts w:hint="eastAsia" w:cs="Times New Roman"/>
          <w:b/>
          <w:bCs/>
          <w:color w:val="4A4949"/>
          <w:kern w:val="0"/>
          <w:sz w:val="32"/>
          <w:szCs w:val="32"/>
          <w:lang w:val="en-US" w:eastAsia="zh-CN"/>
        </w:rPr>
        <w:t>南通盛洋电气有限公司</w:t>
      </w:r>
    </w:p>
    <w:p>
      <w:pPr>
        <w:widowControl/>
        <w:jc w:val="center"/>
        <w:rPr>
          <w:rFonts w:hint="eastAsia" w:cs="Times New Roman"/>
          <w:b/>
          <w:bCs/>
          <w:color w:val="4A4949"/>
          <w:kern w:val="0"/>
          <w:sz w:val="32"/>
          <w:szCs w:val="32"/>
          <w:lang w:eastAsia="zh-CN"/>
        </w:rPr>
      </w:pPr>
      <w:r>
        <w:rPr>
          <w:rFonts w:hint="eastAsia" w:cs="Times New Roman"/>
          <w:b/>
          <w:bCs/>
          <w:color w:val="4A4949"/>
          <w:kern w:val="0"/>
          <w:sz w:val="32"/>
          <w:szCs w:val="32"/>
          <w:lang w:eastAsia="zh-CN"/>
        </w:rPr>
        <w:t>SCB10-630~2500/10变压器及变压器油箱生产项目</w:t>
      </w:r>
    </w:p>
    <w:p>
      <w:pPr>
        <w:widowControl/>
        <w:jc w:val="center"/>
        <w:rPr>
          <w:rFonts w:hint="default" w:ascii="Times New Roman" w:hAnsi="Times New Roman" w:eastAsia="宋体" w:cs="Times New Roman"/>
          <w:b/>
          <w:bCs/>
          <w:color w:val="4A4949"/>
          <w:kern w:val="0"/>
          <w:sz w:val="32"/>
          <w:szCs w:val="32"/>
        </w:rPr>
      </w:pPr>
      <w:r>
        <w:rPr>
          <w:rFonts w:hint="default" w:ascii="Times New Roman" w:hAnsi="Times New Roman" w:eastAsia="宋体" w:cs="Times New Roman"/>
          <w:b/>
          <w:bCs/>
          <w:color w:val="4A4949"/>
          <w:kern w:val="0"/>
          <w:sz w:val="32"/>
          <w:szCs w:val="32"/>
        </w:rPr>
        <w:t>一般变动环境影响分析</w:t>
      </w: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pStyle w:val="11"/>
        <w:spacing w:after="0" w:line="480" w:lineRule="auto"/>
        <w:jc w:val="center"/>
        <w:outlineLvl w:val="0"/>
        <w:rPr>
          <w:rFonts w:ascii="Times New Roman" w:hAnsi="Times New Roman" w:eastAsia="宋体"/>
          <w:b/>
          <w:sz w:val="32"/>
          <w:szCs w:val="32"/>
          <w:u w:val="single"/>
        </w:rPr>
      </w:pPr>
      <w:bookmarkStart w:id="0" w:name="_Toc5322"/>
      <w:bookmarkStart w:id="1" w:name="_Toc5485"/>
      <w:bookmarkStart w:id="2" w:name="_Toc11134"/>
      <w:r>
        <w:rPr>
          <w:rFonts w:ascii="Times New Roman" w:hAnsi="Times New Roman" w:eastAsia="宋体"/>
          <w:b/>
          <w:sz w:val="32"/>
          <w:szCs w:val="32"/>
        </w:rPr>
        <w:t>建设单位：</w:t>
      </w:r>
      <w:bookmarkEnd w:id="0"/>
      <w:bookmarkEnd w:id="1"/>
      <w:bookmarkEnd w:id="2"/>
      <w:r>
        <w:rPr>
          <w:rFonts w:hint="eastAsia" w:cs="Times New Roman"/>
          <w:b/>
          <w:bCs/>
          <w:color w:val="4A4949"/>
          <w:kern w:val="0"/>
          <w:sz w:val="32"/>
          <w:szCs w:val="32"/>
          <w:u w:val="single"/>
          <w:lang w:val="en-US" w:eastAsia="zh-CN"/>
        </w:rPr>
        <w:t>南通盛洋电气有限公司</w:t>
      </w:r>
      <w:r>
        <w:rPr>
          <w:rFonts w:hint="eastAsia" w:ascii="Times New Roman" w:hAnsi="Times New Roman" w:eastAsia="宋体"/>
          <w:b/>
          <w:sz w:val="32"/>
          <w:szCs w:val="32"/>
          <w:u w:val="single"/>
        </w:rPr>
        <w:t xml:space="preserve"> </w:t>
      </w:r>
    </w:p>
    <w:p>
      <w:pPr>
        <w:pStyle w:val="11"/>
        <w:jc w:val="center"/>
        <w:rPr>
          <w:rFonts w:hint="eastAsia" w:cs="Times New Roman"/>
          <w:b/>
          <w:bCs/>
          <w:color w:val="4A4949"/>
          <w:kern w:val="0"/>
          <w:sz w:val="32"/>
          <w:szCs w:val="32"/>
          <w:u w:val="single"/>
          <w:lang w:val="en-US" w:eastAsia="zh-CN"/>
        </w:rPr>
      </w:pPr>
      <w:r>
        <w:rPr>
          <w:rFonts w:hint="eastAsia"/>
          <w:b/>
          <w:sz w:val="32"/>
          <w:szCs w:val="32"/>
          <w:lang w:val="en-US" w:eastAsia="zh-CN"/>
        </w:rPr>
        <w:t>编制</w:t>
      </w:r>
      <w:r>
        <w:rPr>
          <w:rFonts w:ascii="Times New Roman" w:hAnsi="Times New Roman" w:eastAsia="宋体"/>
          <w:b/>
          <w:sz w:val="32"/>
          <w:szCs w:val="32"/>
        </w:rPr>
        <w:t>单位：</w:t>
      </w:r>
      <w:r>
        <w:rPr>
          <w:rFonts w:hint="eastAsia" w:cs="Times New Roman"/>
          <w:b/>
          <w:bCs/>
          <w:color w:val="4A4949"/>
          <w:kern w:val="0"/>
          <w:sz w:val="32"/>
          <w:szCs w:val="32"/>
          <w:u w:val="single"/>
          <w:lang w:val="en-US" w:eastAsia="zh-CN"/>
        </w:rPr>
        <w:t>南通盛洋电气有限公司</w:t>
      </w:r>
    </w:p>
    <w:p>
      <w:pPr>
        <w:pStyle w:val="11"/>
        <w:jc w:val="center"/>
        <w:outlineLvl w:val="0"/>
        <w:rPr>
          <w:rFonts w:ascii="Times New Roman" w:hAnsi="Times New Roman" w:eastAsia="宋体"/>
          <w:b/>
          <w:spacing w:val="40"/>
          <w:sz w:val="32"/>
          <w:szCs w:val="32"/>
        </w:rPr>
      </w:pPr>
      <w:bookmarkStart w:id="3" w:name="_Toc65"/>
      <w:bookmarkStart w:id="4" w:name="_Toc5221"/>
      <w:bookmarkStart w:id="5" w:name="_Toc14013"/>
      <w:r>
        <w:rPr>
          <w:rFonts w:hint="eastAsia" w:ascii="Times New Roman" w:hAnsi="Times New Roman" w:eastAsia="宋体"/>
          <w:b/>
          <w:spacing w:val="40"/>
          <w:sz w:val="32"/>
          <w:szCs w:val="32"/>
        </w:rPr>
        <w:t>编制日期：</w:t>
      </w:r>
      <w:r>
        <w:rPr>
          <w:rFonts w:ascii="Times New Roman" w:hAnsi="Times New Roman" w:eastAsia="宋体"/>
          <w:b/>
          <w:spacing w:val="40"/>
          <w:sz w:val="32"/>
          <w:szCs w:val="32"/>
        </w:rPr>
        <w:t>二</w:t>
      </w:r>
      <w:r>
        <w:rPr>
          <w:rFonts w:hint="eastAsia" w:ascii="Times New Roman" w:hAnsi="Times New Roman" w:eastAsia="宋体"/>
          <w:b/>
          <w:spacing w:val="40"/>
          <w:sz w:val="32"/>
          <w:szCs w:val="32"/>
        </w:rPr>
        <w:t>〇二</w:t>
      </w:r>
      <w:r>
        <w:rPr>
          <w:rFonts w:hint="eastAsia" w:ascii="Times New Roman" w:hAnsi="Times New Roman" w:eastAsia="宋体"/>
          <w:b/>
          <w:spacing w:val="40"/>
          <w:sz w:val="32"/>
          <w:szCs w:val="32"/>
          <w:lang w:val="en-US" w:eastAsia="zh-CN"/>
        </w:rPr>
        <w:t>一</w:t>
      </w:r>
      <w:r>
        <w:rPr>
          <w:rFonts w:ascii="Times New Roman" w:hAnsi="Times New Roman" w:eastAsia="宋体"/>
          <w:b/>
          <w:spacing w:val="40"/>
          <w:sz w:val="32"/>
          <w:szCs w:val="32"/>
        </w:rPr>
        <w:t>年</w:t>
      </w:r>
      <w:r>
        <w:rPr>
          <w:rFonts w:hint="eastAsia"/>
          <w:b/>
          <w:spacing w:val="40"/>
          <w:sz w:val="32"/>
          <w:szCs w:val="32"/>
          <w:lang w:val="en-US" w:eastAsia="zh-CN"/>
        </w:rPr>
        <w:t>九</w:t>
      </w:r>
      <w:r>
        <w:rPr>
          <w:rFonts w:ascii="Times New Roman" w:hAnsi="Times New Roman" w:eastAsia="宋体"/>
          <w:b/>
          <w:spacing w:val="40"/>
          <w:sz w:val="32"/>
          <w:szCs w:val="32"/>
        </w:rPr>
        <w:t>月</w:t>
      </w:r>
      <w:bookmarkEnd w:id="3"/>
      <w:bookmarkEnd w:id="4"/>
      <w:bookmarkEnd w:id="5"/>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widowControl/>
        <w:jc w:val="center"/>
        <w:rPr>
          <w:rFonts w:hint="default" w:ascii="Times New Roman" w:hAnsi="Times New Roman" w:eastAsia="宋体" w:cs="Times New Roman"/>
          <w:color w:val="4A4949"/>
          <w:kern w:val="0"/>
          <w:sz w:val="28"/>
          <w:szCs w:val="28"/>
        </w:rPr>
      </w:pP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sz w:val="28"/>
          <w:szCs w:val="28"/>
        </w:rPr>
      </w:pPr>
      <w:r>
        <w:rPr>
          <w:rFonts w:hint="default"/>
          <w:sz w:val="28"/>
          <w:szCs w:val="28"/>
        </w:rPr>
        <w:t>一、变动情况</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1、环保手续</w:t>
      </w:r>
      <w:r>
        <w:rPr>
          <w:rFonts w:hint="default" w:ascii="Times New Roman" w:hAnsi="Times New Roman" w:eastAsia="宋体" w:cs="Times New Roman"/>
          <w:sz w:val="28"/>
          <w:szCs w:val="28"/>
          <w:lang w:val="en-US" w:eastAsia="zh-CN"/>
        </w:rPr>
        <w:t>办理</w:t>
      </w:r>
      <w:r>
        <w:rPr>
          <w:rFonts w:hint="default" w:ascii="Times New Roman" w:hAnsi="Times New Roman" w:eastAsia="宋体" w:cs="Times New Roman"/>
          <w:sz w:val="28"/>
          <w:szCs w:val="28"/>
        </w:rPr>
        <w:t>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highlight w:val="none"/>
          <w:lang w:val="en-US" w:eastAsia="zh-CN"/>
        </w:rPr>
        <w:t>2019年7月</w:t>
      </w:r>
      <w:r>
        <w:rPr>
          <w:rFonts w:hint="default" w:ascii="Times New Roman" w:hAnsi="Times New Roman" w:eastAsia="宋体" w:cs="Times New Roman"/>
          <w:sz w:val="28"/>
          <w:szCs w:val="28"/>
          <w:lang w:eastAsia="zh-CN"/>
        </w:rPr>
        <w:t>江苏叶萌环境技术有限公司</w:t>
      </w:r>
      <w:r>
        <w:rPr>
          <w:rFonts w:hint="default" w:ascii="Times New Roman" w:hAnsi="Times New Roman" w:eastAsia="宋体" w:cs="Times New Roman"/>
          <w:sz w:val="28"/>
          <w:szCs w:val="28"/>
          <w:highlight w:val="none"/>
          <w:lang w:val="en-US" w:eastAsia="zh-CN"/>
        </w:rPr>
        <w:t>编制了《南通盛洋电气有限公司SCB10-630~2500/10变压器及变压器油箱生产项目环境影响报告表》，项目备案文号：海行审备[2018]783号</w:t>
      </w:r>
      <w:r>
        <w:rPr>
          <w:rFonts w:hint="default" w:ascii="Times New Roman" w:hAnsi="Times New Roman" w:eastAsia="宋体" w:cs="Times New Roman"/>
          <w:color w:val="000000"/>
          <w:kern w:val="0"/>
          <w:sz w:val="28"/>
          <w:szCs w:val="28"/>
          <w:highlight w:val="none"/>
          <w:lang w:val="en-US" w:eastAsia="zh-CN" w:bidi="ar"/>
        </w:rPr>
        <w:t>，项目代码：2018-320621-38-03-561690</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bCs/>
          <w:sz w:val="28"/>
          <w:szCs w:val="28"/>
          <w:lang w:eastAsia="zh-CN"/>
        </w:rPr>
        <w:t>项目已于2020年2月13日取得海安市行政审批局备案（备案证号：海行审备[2020]44号），项目代码：2020-320621-34-03-504121。该项目于2019年8月19日获得海安市行政审批局审批（海行审投资【2019】559号）</w:t>
      </w:r>
      <w:r>
        <w:rPr>
          <w:rFonts w:hint="eastAsia" w:ascii="Times New Roman" w:hAnsi="Times New Roman" w:eastAsia="宋体" w:cs="Times New Roman"/>
          <w:bCs/>
          <w:sz w:val="28"/>
          <w:szCs w:val="28"/>
          <w:lang w:eastAsia="zh-CN"/>
        </w:rPr>
        <w:t>。</w:t>
      </w:r>
      <w:r>
        <w:rPr>
          <w:rFonts w:hint="default" w:ascii="Times New Roman" w:hAnsi="Times New Roman" w:eastAsia="宋体" w:cs="Times New Roman"/>
          <w:sz w:val="28"/>
          <w:szCs w:val="28"/>
        </w:rPr>
        <w:t xml:space="preserve">                                                                                                                                                              </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textAlignment w:val="auto"/>
        <w:rPr>
          <w:rFonts w:hint="default"/>
          <w:sz w:val="28"/>
          <w:szCs w:val="28"/>
          <w:lang w:val="en-US"/>
        </w:rPr>
      </w:pPr>
      <w:r>
        <w:rPr>
          <w:rFonts w:hint="eastAsia" w:ascii="Times New Roman" w:hAnsi="Times New Roman" w:eastAsia="宋体" w:cs="Times New Roman"/>
          <w:sz w:val="28"/>
          <w:szCs w:val="28"/>
          <w:lang w:val="en-US" w:bidi="zh-CN"/>
        </w:rPr>
        <w:t>本项目已取得排污许可登记，登记编号：91320621660072354001W。</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4"/>
          <w:szCs w:val="24"/>
          <w:lang w:bidi="zh-CN"/>
        </w:rPr>
      </w:pPr>
      <w:r>
        <w:rPr>
          <w:rFonts w:hint="default" w:ascii="Times New Roman" w:hAnsi="Times New Roman" w:eastAsia="宋体" w:cs="Times New Roman"/>
          <w:sz w:val="28"/>
          <w:szCs w:val="28"/>
          <w:lang w:bidi="zh-CN"/>
        </w:rPr>
        <w:t>SCB10-630~2500/10变压器及变压器油箱生产项目已于2019年10月1日开工，2021年9月16日竣工，202</w:t>
      </w:r>
      <w:r>
        <w:rPr>
          <w:rFonts w:hint="eastAsia" w:ascii="Times New Roman" w:hAnsi="Times New Roman" w:eastAsia="宋体" w:cs="Times New Roman"/>
          <w:sz w:val="28"/>
          <w:szCs w:val="28"/>
          <w:lang w:val="en-US" w:bidi="zh-CN"/>
        </w:rPr>
        <w:t>1</w:t>
      </w:r>
      <w:r>
        <w:rPr>
          <w:rFonts w:hint="default" w:ascii="Times New Roman" w:hAnsi="Times New Roman" w:eastAsia="宋体" w:cs="Times New Roman"/>
          <w:sz w:val="28"/>
          <w:szCs w:val="28"/>
          <w:lang w:bidi="zh-CN"/>
        </w:rPr>
        <w:t>年</w:t>
      </w:r>
      <w:r>
        <w:rPr>
          <w:rFonts w:hint="eastAsia" w:ascii="Times New Roman" w:hAnsi="Times New Roman" w:eastAsia="宋体" w:cs="Times New Roman"/>
          <w:sz w:val="28"/>
          <w:szCs w:val="28"/>
          <w:lang w:val="en-US" w:bidi="zh-CN"/>
        </w:rPr>
        <w:t>9</w:t>
      </w:r>
      <w:r>
        <w:rPr>
          <w:rFonts w:hint="default" w:ascii="Times New Roman" w:hAnsi="Times New Roman" w:eastAsia="宋体" w:cs="Times New Roman"/>
          <w:sz w:val="28"/>
          <w:szCs w:val="28"/>
          <w:lang w:bidi="zh-CN"/>
        </w:rPr>
        <w:t>月启动验收工作。</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环评批复要求及落实情况</w:t>
      </w:r>
    </w:p>
    <w:p>
      <w:pPr>
        <w:widowControl/>
        <w:spacing w:line="360" w:lineRule="auto"/>
        <w:ind w:firstLine="560" w:firstLineChars="200"/>
        <w:jc w:val="left"/>
        <w:rPr>
          <w:rFonts w:hint="eastAsia" w:cs="Times New Roman"/>
          <w:b w:val="0"/>
          <w:bCs w:val="0"/>
          <w:color w:val="4A4949"/>
          <w:kern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Times New Roman"/>
          <w:b w:val="0"/>
          <w:bCs w:val="0"/>
          <w:color w:val="4A4949"/>
          <w:kern w:val="0"/>
          <w:sz w:val="28"/>
          <w:szCs w:val="28"/>
          <w:lang w:val="en-US" w:eastAsia="zh-CN"/>
        </w:rPr>
        <w:t>环评批复要求及落实情况见表1。</w:t>
      </w:r>
    </w:p>
    <w:p>
      <w:pPr>
        <w:spacing w:after="0"/>
        <w:jc w:val="center"/>
        <w:rPr>
          <w:rFonts w:hint="default" w:ascii="Times New Roman" w:hAnsi="Times New Roman" w:eastAsia="宋体" w:cs="Times New Roman"/>
          <w:sz w:val="24"/>
          <w:szCs w:val="24"/>
        </w:rPr>
      </w:pPr>
      <w:r>
        <w:rPr>
          <w:rFonts w:hint="default" w:ascii="Times New Roman" w:hAnsi="Times New Roman" w:eastAsia="宋体" w:cs="Times New Roman"/>
          <w:b/>
          <w:sz w:val="28"/>
          <w:szCs w:val="28"/>
        </w:rPr>
        <w:t>表1 环评</w:t>
      </w:r>
      <w:r>
        <w:rPr>
          <w:rFonts w:hint="default" w:ascii="Times New Roman" w:hAnsi="Times New Roman" w:eastAsia="宋体" w:cs="Times New Roman"/>
          <w:b/>
          <w:sz w:val="28"/>
          <w:szCs w:val="28"/>
          <w:lang w:val="en-US" w:eastAsia="zh-CN"/>
        </w:rPr>
        <w:t>批复要求及</w:t>
      </w:r>
      <w:r>
        <w:rPr>
          <w:rFonts w:hint="default" w:ascii="Times New Roman" w:hAnsi="Times New Roman" w:eastAsia="宋体" w:cs="Times New Roman"/>
          <w:b/>
          <w:sz w:val="28"/>
          <w:szCs w:val="28"/>
        </w:rPr>
        <w:t>落实情况对照表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99"/>
        <w:gridCol w:w="4911"/>
        <w:gridCol w:w="815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173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w:t>
            </w:r>
            <w:r>
              <w:rPr>
                <w:rFonts w:hint="eastAsia" w:ascii="Times New Roman" w:hAnsi="Times New Roman" w:eastAsia="宋体" w:cs="Times New Roman"/>
                <w:b/>
                <w:bCs/>
                <w:sz w:val="21"/>
                <w:szCs w:val="21"/>
                <w:lang w:val="en-US" w:eastAsia="zh-CN"/>
              </w:rPr>
              <w:t>批复</w:t>
            </w:r>
            <w:r>
              <w:rPr>
                <w:rFonts w:hint="default" w:ascii="Times New Roman" w:hAnsi="Times New Roman" w:eastAsia="宋体" w:cs="Times New Roman"/>
                <w:b/>
                <w:bCs/>
                <w:sz w:val="21"/>
                <w:szCs w:val="21"/>
              </w:rPr>
              <w:t>要求</w:t>
            </w: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实际落实情况</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废水</w:t>
            </w:r>
          </w:p>
        </w:tc>
        <w:tc>
          <w:tcPr>
            <w:tcW w:w="1733"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按“清污分流、雨污分流”原则设计、建设厂区排水系统。生活污水经化粪池预处理达《污水综合排放标准》(GB8978-1996 )表4中三级标准、《污水排入城镇下水道水质标 准》(GB/T31962-2015 )表1中B等级标准和污水处理厂接管要求 后，经园区污水管网排入海安曲塘滇池水务有限公司进行集中处理</w:t>
            </w:r>
            <w:r>
              <w:rPr>
                <w:rFonts w:hint="eastAsia" w:ascii="Times New Roman" w:hAnsi="Times New Roman" w:eastAsia="宋体" w:cs="Times New Roman"/>
                <w:sz w:val="21"/>
                <w:szCs w:val="21"/>
                <w:lang w:eastAsia="zh-CN"/>
              </w:rPr>
              <w:t>。</w:t>
            </w:r>
          </w:p>
        </w:tc>
        <w:tc>
          <w:tcPr>
            <w:tcW w:w="2878"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按“清污分流、雨污分流”原则设计、建设厂区排水系统。生活污水经化粪池预处理，经园区污水管网排入海安曲塘滇池水务有限公司进行集中处理。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废气</w:t>
            </w:r>
          </w:p>
        </w:tc>
        <w:tc>
          <w:tcPr>
            <w:tcW w:w="1733"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在工程设计中，应进一步优化废气处理方案，严格控 制无组织废气排放，确保各类废气的收集率及去除率、排气筒设置及高度等符合《报告表》要求。颗粒物、非甲烷总</w:t>
            </w:r>
            <w:r>
              <w:rPr>
                <w:rFonts w:hint="eastAsia" w:ascii="Times New Roman" w:hAnsi="Times New Roman" w:eastAsia="宋体" w:cs="Times New Roman"/>
                <w:sz w:val="21"/>
                <w:szCs w:val="21"/>
                <w:lang w:val="en-US" w:eastAsia="zh-CN"/>
              </w:rPr>
              <w:t>烃</w:t>
            </w:r>
            <w:r>
              <w:rPr>
                <w:rFonts w:hint="default" w:ascii="Times New Roman" w:hAnsi="Times New Roman" w:eastAsia="宋体" w:cs="Times New Roman"/>
                <w:sz w:val="21"/>
                <w:szCs w:val="21"/>
              </w:rPr>
              <w:t>排放执行《大气污染物综合排放标准》(GB16297-1996)表2中二级标准及 无组织排放监控浓度限值。</w:t>
            </w:r>
          </w:p>
        </w:tc>
        <w:tc>
          <w:tcPr>
            <w:tcW w:w="287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6" w:name="_Hlk12632646"/>
            <w:r>
              <w:rPr>
                <w:rFonts w:hint="default" w:ascii="Times New Roman" w:hAnsi="Times New Roman" w:eastAsia="宋体" w:cs="Times New Roman"/>
                <w:sz w:val="21"/>
                <w:szCs w:val="21"/>
              </w:rPr>
              <w:t>本项目营运期产生的废气污染物主要为焊接烟尘（G1、G8）；抛丸粉尘（G2）；打磨粉尘（G3）；喷塑粉尘（G4）；烘干固化时产生的有机废气（G5）；浇注、烘干时产生的有机废气（G6、G7）</w:t>
            </w:r>
            <w:bookmarkEnd w:id="6"/>
            <w:r>
              <w:rPr>
                <w:rFonts w:hint="default" w:ascii="Times New Roman" w:hAnsi="Times New Roman" w:eastAsia="宋体" w:cs="Times New Roman"/>
                <w:sz w:val="21"/>
                <w:szCs w:val="21"/>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default" w:ascii="Times New Roman" w:hAnsi="Times New Roman" w:eastAsia="宋体" w:cs="Times New Roman"/>
                <w:sz w:val="21"/>
                <w:szCs w:val="21"/>
              </w:rPr>
            </w:pPr>
            <w:bookmarkStart w:id="7" w:name="_Hlk12632862"/>
            <w:r>
              <w:rPr>
                <w:rFonts w:hint="default" w:ascii="Times New Roman" w:hAnsi="Times New Roman" w:eastAsia="宋体" w:cs="Times New Roman"/>
                <w:sz w:val="21"/>
                <w:szCs w:val="21"/>
              </w:rPr>
              <w:t>（1）焊接烟尘（G1、G8）</w:t>
            </w:r>
          </w:p>
          <w:bookmarkEnd w:id="7"/>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8" w:name="_Hlk12632660"/>
            <w:r>
              <w:rPr>
                <w:rFonts w:hint="default" w:ascii="Times New Roman" w:hAnsi="Times New Roman" w:eastAsia="宋体" w:cs="Times New Roman"/>
                <w:sz w:val="21"/>
                <w:szCs w:val="21"/>
              </w:rPr>
              <w:t>项目在焊接工序中产生焊接烟尘</w:t>
            </w:r>
            <w:bookmarkEnd w:id="8"/>
            <w:r>
              <w:rPr>
                <w:rFonts w:hint="default" w:ascii="Times New Roman" w:hAnsi="Times New Roman" w:eastAsia="宋体" w:cs="Times New Roman"/>
                <w:sz w:val="21"/>
                <w:szCs w:val="21"/>
              </w:rPr>
              <w:t>，焊接烟尘</w:t>
            </w:r>
            <w:r>
              <w:rPr>
                <w:rFonts w:hint="default" w:ascii="Times New Roman" w:hAnsi="Times New Roman" w:eastAsia="宋体" w:cs="Times New Roman"/>
                <w:sz w:val="21"/>
                <w:szCs w:val="21"/>
                <w:lang w:val="en-US" w:eastAsia="zh-CN"/>
              </w:rPr>
              <w:t>经移动式烟尘净化器处理后</w:t>
            </w:r>
            <w:r>
              <w:rPr>
                <w:rFonts w:hint="default" w:ascii="Times New Roman" w:hAnsi="Times New Roman" w:eastAsia="宋体" w:cs="Times New Roman"/>
                <w:sz w:val="21"/>
                <w:szCs w:val="21"/>
              </w:rPr>
              <w:t>于车间无组织排放。</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9" w:name="_Hlk12632868"/>
            <w:r>
              <w:rPr>
                <w:rFonts w:hint="default" w:ascii="Times New Roman" w:hAnsi="Times New Roman" w:eastAsia="宋体" w:cs="Times New Roman"/>
                <w:sz w:val="21"/>
                <w:szCs w:val="21"/>
              </w:rPr>
              <w:t>（2）抛丸粉尘（G2）</w:t>
            </w:r>
          </w:p>
          <w:bookmarkEnd w:id="9"/>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10" w:name="_Hlk12632690"/>
            <w:r>
              <w:rPr>
                <w:rFonts w:hint="default" w:ascii="Times New Roman" w:hAnsi="Times New Roman" w:eastAsia="宋体" w:cs="Times New Roman"/>
                <w:sz w:val="21"/>
                <w:szCs w:val="21"/>
              </w:rPr>
              <w:t>本项目抛丸工序会产生粉尘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本项目对变压器油箱表面进行抛丸清理。</w:t>
            </w:r>
            <w:bookmarkEnd w:id="10"/>
            <w:r>
              <w:rPr>
                <w:rFonts w:hint="default" w:ascii="Times New Roman" w:hAnsi="Times New Roman" w:eastAsia="宋体" w:cs="Times New Roman"/>
                <w:sz w:val="21"/>
                <w:szCs w:val="21"/>
              </w:rPr>
              <w:t>粉尘经设备配套的袋式除尘器收集处理后，由15m高排气筒（1#）有组织排放。未收集到的粉尘无组织排放。</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11" w:name="_Hlk12632876"/>
            <w:r>
              <w:rPr>
                <w:rFonts w:hint="default" w:ascii="Times New Roman" w:hAnsi="Times New Roman" w:eastAsia="宋体" w:cs="Times New Roman"/>
                <w:sz w:val="21"/>
                <w:szCs w:val="21"/>
              </w:rPr>
              <w:t>（3）打磨粉尘（G3）</w:t>
            </w:r>
          </w:p>
          <w:bookmarkEnd w:id="11"/>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12" w:name="_Hlk12632730"/>
            <w:r>
              <w:rPr>
                <w:rFonts w:hint="default" w:ascii="Times New Roman" w:hAnsi="Times New Roman" w:eastAsia="宋体" w:cs="Times New Roman"/>
                <w:sz w:val="21"/>
                <w:szCs w:val="21"/>
              </w:rPr>
              <w:t>项目在使用手持打磨机对工件不平整处进行打磨时会产生打磨粉尘</w:t>
            </w:r>
            <w:bookmarkStart w:id="13" w:name="_Hlk2164530"/>
            <w:r>
              <w:rPr>
                <w:rFonts w:hint="default" w:ascii="Times New Roman" w:hAnsi="Times New Roman" w:eastAsia="宋体" w:cs="Times New Roman"/>
                <w:sz w:val="21"/>
                <w:szCs w:val="21"/>
              </w:rPr>
              <w:t>，</w:t>
            </w:r>
            <w:bookmarkEnd w:id="13"/>
            <w:r>
              <w:rPr>
                <w:rFonts w:hint="default" w:ascii="Times New Roman" w:hAnsi="Times New Roman" w:eastAsia="宋体" w:cs="Times New Roman"/>
                <w:sz w:val="21"/>
                <w:szCs w:val="21"/>
              </w:rPr>
              <w:t>打磨粉尘</w:t>
            </w:r>
            <w:r>
              <w:rPr>
                <w:rFonts w:hint="default" w:ascii="Times New Roman" w:hAnsi="Times New Roman" w:eastAsia="宋体" w:cs="Times New Roman"/>
                <w:sz w:val="21"/>
                <w:szCs w:val="21"/>
                <w:lang w:val="en-US" w:eastAsia="zh-CN"/>
              </w:rPr>
              <w:t>在车间内</w:t>
            </w:r>
            <w:r>
              <w:rPr>
                <w:rFonts w:hint="default" w:ascii="Times New Roman" w:hAnsi="Times New Roman" w:eastAsia="宋体" w:cs="Times New Roman"/>
                <w:sz w:val="21"/>
                <w:szCs w:val="21"/>
              </w:rPr>
              <w:t>无组织</w:t>
            </w:r>
            <w:bookmarkEnd w:id="12"/>
            <w:r>
              <w:rPr>
                <w:rFonts w:hint="default" w:ascii="Times New Roman" w:hAnsi="Times New Roman" w:eastAsia="宋体" w:cs="Times New Roman"/>
                <w:kern w:val="0"/>
                <w:sz w:val="21"/>
                <w:szCs w:val="21"/>
              </w:rPr>
              <w:t>。</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14" w:name="_Hlk12632883"/>
            <w:r>
              <w:rPr>
                <w:rFonts w:hint="default" w:ascii="Times New Roman" w:hAnsi="Times New Roman" w:eastAsia="宋体" w:cs="Times New Roman"/>
                <w:sz w:val="21"/>
                <w:szCs w:val="21"/>
              </w:rPr>
              <w:t>（4）喷塑粉尘（G4）</w:t>
            </w:r>
          </w:p>
          <w:bookmarkEnd w:id="14"/>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本项目采用人工喷塑，喷塑房大小为2m*3m*3.5m。喷塑过程产生的粉尘经设备配套的</w:t>
            </w:r>
            <w:r>
              <w:rPr>
                <w:rFonts w:hint="default" w:ascii="Times New Roman" w:hAnsi="Times New Roman" w:eastAsia="宋体" w:cs="Times New Roman"/>
                <w:sz w:val="21"/>
                <w:szCs w:val="21"/>
                <w:lang w:val="en-US" w:eastAsia="zh-CN"/>
              </w:rPr>
              <w:t>旋风+</w:t>
            </w:r>
            <w:r>
              <w:rPr>
                <w:rFonts w:hint="default" w:ascii="Times New Roman" w:hAnsi="Times New Roman" w:eastAsia="宋体" w:cs="Times New Roman"/>
                <w:sz w:val="21"/>
                <w:szCs w:val="21"/>
              </w:rPr>
              <w:t>滤芯收集处理，尾气由15m高（2#）排气筒排放。未收集到的粉尘无组织排放。</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15" w:name="_Hlk12632892"/>
            <w:r>
              <w:rPr>
                <w:rFonts w:hint="default" w:ascii="Times New Roman" w:hAnsi="Times New Roman" w:eastAsia="宋体" w:cs="Times New Roman"/>
                <w:sz w:val="21"/>
                <w:szCs w:val="21"/>
              </w:rPr>
              <w:t>（5）固化废气（G5）</w:t>
            </w:r>
          </w:p>
          <w:bookmarkEnd w:id="15"/>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bookmarkStart w:id="16" w:name="_Hlk12632817"/>
            <w:r>
              <w:rPr>
                <w:rFonts w:hint="default" w:ascii="Times New Roman" w:hAnsi="Times New Roman" w:eastAsia="宋体" w:cs="Times New Roman"/>
                <w:sz w:val="21"/>
                <w:szCs w:val="21"/>
              </w:rPr>
              <w:t>经静电喷涂后进入密闭的干燥箱进行干燥固化，在固化过程中会产生有机废气。</w:t>
            </w:r>
            <w:bookmarkEnd w:id="16"/>
            <w:r>
              <w:rPr>
                <w:rFonts w:hint="default" w:ascii="Times New Roman" w:hAnsi="Times New Roman" w:eastAsia="宋体" w:cs="Times New Roman"/>
                <w:sz w:val="21"/>
                <w:szCs w:val="21"/>
              </w:rPr>
              <w:t>在干燥箱顶部设置管道收集废气</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0"/>
                <w:sz w:val="21"/>
                <w:szCs w:val="21"/>
              </w:rPr>
              <w:t>非甲烷总烃</w:t>
            </w:r>
            <w:r>
              <w:rPr>
                <w:rFonts w:hint="default" w:ascii="Times New Roman" w:hAnsi="Times New Roman" w:eastAsia="宋体" w:cs="Times New Roman"/>
                <w:sz w:val="21"/>
                <w:szCs w:val="21"/>
              </w:rPr>
              <w:t>收集后采用活性炭吸附处理</w:t>
            </w:r>
            <w:r>
              <w:rPr>
                <w:rFonts w:hint="default" w:ascii="Times New Roman" w:hAnsi="Times New Roman" w:eastAsia="宋体" w:cs="Times New Roman"/>
                <w:sz w:val="21"/>
                <w:szCs w:val="21"/>
                <w:lang w:val="en-US" w:eastAsia="zh-CN"/>
              </w:rPr>
              <w:t>后</w:t>
            </w:r>
            <w:r>
              <w:rPr>
                <w:rFonts w:hint="default" w:ascii="Times New Roman" w:hAnsi="Times New Roman" w:eastAsia="宋体" w:cs="Times New Roman"/>
                <w:sz w:val="21"/>
                <w:szCs w:val="21"/>
              </w:rPr>
              <w:t>通过15m高排气筒（</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#）排放</w:t>
            </w:r>
            <w:r>
              <w:rPr>
                <w:rFonts w:hint="default" w:ascii="Times New Roman" w:hAnsi="Times New Roman" w:eastAsia="宋体" w:cs="Times New Roman"/>
                <w:bCs/>
                <w:sz w:val="21"/>
                <w:szCs w:val="21"/>
                <w:lang w:eastAsia="zh-CN"/>
              </w:rPr>
              <w:t>，</w:t>
            </w:r>
            <w:r>
              <w:rPr>
                <w:rFonts w:hint="default" w:ascii="Times New Roman" w:hAnsi="Times New Roman" w:eastAsia="宋体" w:cs="Times New Roman"/>
                <w:sz w:val="21"/>
                <w:szCs w:val="21"/>
              </w:rPr>
              <w:t>未收集到的非甲烷总烃于车间内无组织排放。</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default" w:ascii="Times New Roman" w:hAnsi="Times New Roman" w:eastAsia="宋体" w:cs="Times New Roman"/>
                <w:sz w:val="21"/>
                <w:szCs w:val="21"/>
              </w:rPr>
            </w:pPr>
            <w:bookmarkStart w:id="17" w:name="_Hlk12632902"/>
            <w:r>
              <w:rPr>
                <w:rFonts w:hint="default" w:ascii="Times New Roman" w:hAnsi="Times New Roman" w:eastAsia="宋体" w:cs="Times New Roman"/>
                <w:sz w:val="21"/>
                <w:szCs w:val="21"/>
              </w:rPr>
              <w:t>（6）浇注、烘干废气（G6、G7）</w:t>
            </w:r>
          </w:p>
          <w:bookmarkEnd w:id="17"/>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lang w:val="en-US" w:eastAsia="zh-CN"/>
              </w:rPr>
            </w:pPr>
            <w:bookmarkStart w:id="18" w:name="_Hlk12632845"/>
            <w:r>
              <w:rPr>
                <w:rFonts w:hint="default" w:ascii="Times New Roman" w:hAnsi="Times New Roman" w:eastAsia="宋体" w:cs="Times New Roman"/>
                <w:b w:val="0"/>
                <w:sz w:val="21"/>
                <w:szCs w:val="21"/>
              </w:rPr>
              <w:t>在干式变压器生产过程中，浇注、烘干会产生少量有机废气。</w:t>
            </w:r>
            <w:bookmarkEnd w:id="18"/>
            <w:r>
              <w:rPr>
                <w:rFonts w:hint="default" w:ascii="Times New Roman" w:hAnsi="Times New Roman" w:eastAsia="宋体" w:cs="Times New Roman"/>
                <w:kern w:val="0"/>
                <w:sz w:val="21"/>
                <w:szCs w:val="21"/>
              </w:rPr>
              <w:t>非甲烷总烃</w:t>
            </w:r>
            <w:r>
              <w:rPr>
                <w:rFonts w:hint="default" w:ascii="Times New Roman" w:hAnsi="Times New Roman" w:eastAsia="宋体" w:cs="Times New Roman"/>
                <w:sz w:val="21"/>
                <w:szCs w:val="21"/>
              </w:rPr>
              <w:t>收集后</w:t>
            </w:r>
            <w:r>
              <w:rPr>
                <w:rFonts w:hint="default" w:ascii="Times New Roman" w:hAnsi="Times New Roman" w:eastAsia="宋体" w:cs="Times New Roman"/>
                <w:sz w:val="21"/>
                <w:szCs w:val="21"/>
                <w:lang w:val="en-US" w:eastAsia="zh-CN"/>
              </w:rPr>
              <w:t>通过二级</w:t>
            </w:r>
            <w:r>
              <w:rPr>
                <w:rFonts w:hint="default" w:ascii="Times New Roman" w:hAnsi="Times New Roman" w:eastAsia="宋体" w:cs="Times New Roman"/>
                <w:sz w:val="21"/>
                <w:szCs w:val="21"/>
              </w:rPr>
              <w:t>活性炭吸附</w:t>
            </w:r>
            <w:r>
              <w:rPr>
                <w:rFonts w:hint="default" w:ascii="Times New Roman" w:hAnsi="Times New Roman" w:eastAsia="宋体" w:cs="Times New Roman"/>
                <w:bCs/>
                <w:sz w:val="21"/>
                <w:szCs w:val="21"/>
              </w:rPr>
              <w:t>装置处理后，通过15m高（</w:t>
            </w:r>
            <w:r>
              <w:rPr>
                <w:rFonts w:hint="default" w:ascii="Times New Roman" w:hAnsi="Times New Roman" w:eastAsia="宋体" w:cs="Times New Roman"/>
                <w:bCs/>
                <w:sz w:val="21"/>
                <w:szCs w:val="21"/>
                <w:lang w:val="en-US" w:eastAsia="zh-CN"/>
              </w:rPr>
              <w:t>4</w:t>
            </w:r>
            <w:r>
              <w:rPr>
                <w:rFonts w:hint="default" w:ascii="Times New Roman" w:hAnsi="Times New Roman" w:eastAsia="宋体" w:cs="Times New Roman"/>
                <w:bCs/>
                <w:sz w:val="21"/>
                <w:szCs w:val="21"/>
              </w:rPr>
              <w:t>#）的排气筒排放，</w:t>
            </w:r>
            <w:r>
              <w:rPr>
                <w:rFonts w:hint="default" w:ascii="Times New Roman" w:hAnsi="Times New Roman" w:eastAsia="宋体" w:cs="Times New Roman"/>
                <w:sz w:val="21"/>
                <w:szCs w:val="21"/>
              </w:rPr>
              <w:t>未收集到的非甲烷总烃于车间内无组织排放。</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噪声</w:t>
            </w:r>
          </w:p>
        </w:tc>
        <w:tc>
          <w:tcPr>
            <w:tcW w:w="1733"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进一步优选低噪声设备和优化车间设备布局，并采取 隔声、吸声、减振等降噪措施，确保东、南侧厂界噪声达到《工业企业厂界环境噪声排放标准»(GB12348-2008 )中2类标准，西、北侧厂界噪声达到《工业企业厂界环境噪声排放标准》</w:t>
            </w:r>
          </w:p>
          <w:p>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(GB12348-2008 )中 4 类标准。</w:t>
            </w: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通过厂房隔声、减振、距离衰减等措施，可使东、南侧厂界噪声达到《工业企业厂界环境噪声排放标准»(GB12348-2008 )中2类标准，西、北侧厂界噪声达到《工业企业厂界环境噪声排放标准》(GB12348-2008 )中 4 类标准。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固废</w:t>
            </w:r>
          </w:p>
        </w:tc>
        <w:tc>
          <w:tcPr>
            <w:tcW w:w="1733" w:type="pct"/>
            <w:vMerge w:val="restart"/>
            <w:noWrap w:val="0"/>
            <w:vAlign w:val="center"/>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按“减量化、资源化、无害化”的处置原则，落实各 类固体废物尤其是危险固废的收集、处置和综合利用措施。危险 废物必须委托有资质单位安全处置，厂内危险废物暂存场所须符 合《危险废物贮存污染控制标准》(GB18597-2001 )及其修改单要 求，防止造成二次污染。</w:t>
            </w: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按照《一般工业固体废物贮存、处置场污染物控制标准》（GB18599-2020）及修改单要求建设了一般固废暂存场所，设置了一般固废暂存场所标志，并建立了一般固废暂存、回用和清运台账，签订处置协议，做到妥善处置。</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p>
        </w:tc>
        <w:tc>
          <w:tcPr>
            <w:tcW w:w="1733"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Times New Roman"/>
                <w:sz w:val="21"/>
                <w:szCs w:val="21"/>
              </w:rPr>
            </w:pP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单位按照《危险废物贮存污染控制标准》（GB18597-2001）及修改单及《江苏省生态环境厅关于进一步加强危险废物污染防治工作的实施意见》（苏环办〔2019〕327号）要求设置危险固废暂存场地，设置警示标识标牌。危险废物与有资质单位签订了处置合同，做到妥善管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环境风险管理</w:t>
            </w:r>
          </w:p>
        </w:tc>
        <w:tc>
          <w:tcPr>
            <w:tcW w:w="1733"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加强环境风险管理，落实《报告表》提出的风险防范 措施，完善突发环境事故应急预案，采取切实可行的工程控制和管理措施，防止发生污染事故。落实《报告表》提出的防渗区设计要求，避免对地下水和土壤产生污染。</w:t>
            </w:r>
          </w:p>
        </w:tc>
        <w:tc>
          <w:tcPr>
            <w:tcW w:w="2878" w:type="pct"/>
            <w:noWrap w:val="0"/>
            <w:vAlign w:val="center"/>
          </w:tcPr>
          <w:p>
            <w:pPr>
              <w:pStyle w:val="2"/>
              <w:keepNext w:val="0"/>
              <w:keepLines w:val="0"/>
              <w:pageBreakBefore w:val="0"/>
              <w:kinsoku/>
              <w:wordWrap/>
              <w:overflowPunct/>
              <w:topLinePunct w:val="0"/>
              <w:autoSpaceDE/>
              <w:autoSpaceDN/>
              <w:bidi w:val="0"/>
              <w:adjustRightInd w:val="0"/>
              <w:snapToGrid w:val="0"/>
              <w:spacing w:after="0" w:afterLines="0" w:line="240" w:lineRule="auto"/>
              <w:ind w:left="0" w:leftChars="0" w:firstLine="48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已编制应急预案</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规范化</w:t>
            </w:r>
          </w:p>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整治</w:t>
            </w:r>
          </w:p>
        </w:tc>
        <w:tc>
          <w:tcPr>
            <w:tcW w:w="1733"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根据《江苏省排污口设置及规范化整治管理办法》有关规定规范设置各类排污口和标志牌，排气筒预留采样口。按《报 告表》提出的环境管理与监测计划实施日常环境管理与监测。</w:t>
            </w: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w:t>
            </w: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个废气</w:t>
            </w:r>
            <w:r>
              <w:rPr>
                <w:rFonts w:hint="default" w:ascii="Times New Roman" w:hAnsi="Times New Roman" w:eastAsia="宋体" w:cs="Times New Roman"/>
                <w:sz w:val="21"/>
                <w:szCs w:val="21"/>
                <w:lang w:val="en-US" w:eastAsia="zh-CN"/>
              </w:rPr>
              <w:t>排放</w:t>
            </w:r>
            <w:r>
              <w:rPr>
                <w:rFonts w:hint="default" w:ascii="Times New Roman" w:hAnsi="Times New Roman" w:eastAsia="宋体" w:cs="Times New Roman"/>
                <w:sz w:val="21"/>
                <w:szCs w:val="21"/>
              </w:rPr>
              <w:t>口、1个雨水排口、1个污水排口已按照规范设置，并张贴排口标志牌。</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卫生防护距离</w:t>
            </w:r>
          </w:p>
        </w:tc>
        <w:tc>
          <w:tcPr>
            <w:tcW w:w="1733"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按照《报告表》要求，改扩建后，1#车间、2#车间界外各设置50米卫生防护距离，3#车间界外设置100米卫生防护距离。 此范围内目前无居民点等环境敏感目标，今后海安市曲塘镇人民 政府须对项目周边用地进行合理规划，卫生防护距离内不得设置 对环境敏感的项目。</w:t>
            </w: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1#车间、2#车间界外各设置50米卫生防护距离，3#车间界外设置100米卫生防护距离</w:t>
            </w:r>
            <w:r>
              <w:rPr>
                <w:rFonts w:hint="default" w:ascii="Times New Roman" w:hAnsi="Times New Roman" w:eastAsia="宋体" w:cs="Times New Roman"/>
                <w:sz w:val="21"/>
                <w:szCs w:val="21"/>
                <w:lang w:val="en-US" w:eastAsia="zh-CN"/>
              </w:rPr>
              <w:t>。此范围内目前无居民点等环境敏感目标。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tblHeader/>
          <w:jc w:val="center"/>
        </w:trPr>
        <w:tc>
          <w:tcPr>
            <w:tcW w:w="38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总量控制</w:t>
            </w:r>
          </w:p>
        </w:tc>
        <w:tc>
          <w:tcPr>
            <w:tcW w:w="1733" w:type="pct"/>
            <w:noWrap w:val="0"/>
            <w:vAlign w:val="center"/>
          </w:tcPr>
          <w:p>
            <w:pPr>
              <w:keepNext w:val="0"/>
              <w:keepLines w:val="0"/>
              <w:pageBreakBefore w:val="0"/>
              <w:kinsoku/>
              <w:wordWrap/>
              <w:overflowPunct/>
              <w:topLinePunct w:val="0"/>
              <w:autoSpaceDE/>
              <w:autoSpaceDN/>
              <w:bidi w:val="0"/>
              <w:adjustRightInd w:val="0"/>
              <w:snapToGrid w:val="0"/>
              <w:spacing w:after="0"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本项目实施后，污染物年排放总量初步核定为∶（一）</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水污染物（接管考核量）：废水量&lt;1158. 4吨，CODcr &lt; 0. 319 吨，氨氮 &lt; 0.029 吨,TN&lt; 0.041 吨,TP &lt; 0. 003 吨；</w:t>
            </w:r>
          </w:p>
          <w:p>
            <w:pPr>
              <w:keepNext w:val="0"/>
              <w:keepLines w:val="0"/>
              <w:pageBreakBefore w:val="0"/>
              <w:kinsoku/>
              <w:wordWrap/>
              <w:overflowPunct/>
              <w:topLinePunct w:val="0"/>
              <w:autoSpaceDE/>
              <w:autoSpaceDN/>
              <w:bidi w:val="0"/>
              <w:adjustRightInd w:val="0"/>
              <w:snapToGrid w:val="0"/>
              <w:spacing w:after="0" w:line="240" w:lineRule="auto"/>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（二）</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大气污染物（有组织排放量）:颗粒物&lt; 0. 058吨，VOCs （非甲烷总炷）&lt; 0. 0346吨。</w:t>
            </w:r>
          </w:p>
        </w:tc>
        <w:tc>
          <w:tcPr>
            <w:tcW w:w="2878" w:type="pct"/>
            <w:noWrap w:val="0"/>
            <w:vAlign w:val="center"/>
          </w:tcPr>
          <w:p>
            <w:pPr>
              <w:keepNext w:val="0"/>
              <w:keepLines w:val="0"/>
              <w:pageBreakBefore w:val="0"/>
              <w:widowControl w:val="0"/>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经验收期间检测结果表明，本次项目废气</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废水总量满足环评批复要求。</w:t>
            </w:r>
          </w:p>
        </w:tc>
      </w:tr>
    </w:tbl>
    <w:p>
      <w:pPr>
        <w:widowControl/>
        <w:spacing w:line="360" w:lineRule="auto"/>
        <w:ind w:firstLine="562" w:firstLineChars="200"/>
        <w:jc w:val="left"/>
        <w:rPr>
          <w:rFonts w:hint="default" w:ascii="Times New Roman" w:hAnsi="Times New Roman" w:eastAsia="宋体" w:cs="Times New Roman"/>
          <w:b/>
          <w:bCs/>
          <w:color w:val="4A4949"/>
          <w:kern w:val="0"/>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6"/>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textAlignment w:val="auto"/>
        <w:rPr>
          <w:rFonts w:hint="default" w:ascii="Times New Roman" w:hAnsi="Times New Roman" w:eastAsia="宋体" w:cs="Times New Roman"/>
          <w:sz w:val="28"/>
          <w:szCs w:val="28"/>
          <w:lang w:val="en-US" w:eastAsia="zh-CN"/>
        </w:rPr>
      </w:pPr>
      <w:bookmarkStart w:id="19" w:name="_Toc22952"/>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变动内容分析</w:t>
      </w:r>
      <w:bookmarkEnd w:id="19"/>
    </w:p>
    <w:p>
      <w:pPr>
        <w:pStyle w:val="7"/>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pPr>
      <w:bookmarkStart w:id="20" w:name="_Toc5863"/>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val="en-US" w:eastAsia="zh-CN"/>
        </w:rPr>
        <w:t>.1性质变化分析</w:t>
      </w:r>
      <w:bookmarkEnd w:id="20"/>
    </w:p>
    <w:p>
      <w:pPr>
        <w:pStyle w:val="1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z w:val="28"/>
          <w:szCs w:val="28"/>
          <w:lang w:val="en-US" w:eastAsia="zh-CN"/>
        </w:rPr>
      </w:pPr>
      <w:r>
        <w:rPr>
          <w:rFonts w:hint="eastAsia" w:cs="Times New Roman"/>
          <w:b/>
          <w:bCs/>
          <w:sz w:val="28"/>
          <w:szCs w:val="28"/>
          <w:lang w:val="en-US" w:eastAsia="zh-CN"/>
        </w:rPr>
        <w:t>表2</w:t>
      </w:r>
      <w:r>
        <w:rPr>
          <w:rFonts w:hint="default" w:ascii="Times New Roman" w:hAnsi="Times New Roman" w:eastAsia="宋体" w:cs="Times New Roman"/>
          <w:b/>
          <w:bCs/>
          <w:sz w:val="28"/>
          <w:szCs w:val="28"/>
          <w:lang w:val="en-US" w:eastAsia="zh-CN"/>
        </w:rPr>
        <w:t>产</w:t>
      </w:r>
      <w:r>
        <w:rPr>
          <w:rFonts w:hint="eastAsia" w:cs="Times New Roman"/>
          <w:b/>
          <w:bCs/>
          <w:sz w:val="28"/>
          <w:szCs w:val="28"/>
          <w:lang w:val="en-US" w:eastAsia="zh-CN"/>
        </w:rPr>
        <w:t>品</w:t>
      </w:r>
      <w:r>
        <w:rPr>
          <w:rFonts w:hint="default" w:ascii="Times New Roman" w:hAnsi="Times New Roman" w:eastAsia="宋体" w:cs="Times New Roman"/>
          <w:b/>
          <w:bCs/>
          <w:sz w:val="28"/>
          <w:szCs w:val="28"/>
          <w:lang w:val="en-US" w:eastAsia="zh-CN"/>
        </w:rPr>
        <w:t>对照表</w:t>
      </w:r>
    </w:p>
    <w:tbl>
      <w:tblPr>
        <w:tblStyle w:val="15"/>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667"/>
        <w:gridCol w:w="190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top w:val="single" w:color="auto" w:sz="12"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default" w:ascii="Times New Roman" w:hAnsi="Times New Roman" w:eastAsia="宋体" w:cs="Times New Roman"/>
                <w:b/>
                <w:bCs/>
                <w:color w:val="4A4949"/>
                <w:kern w:val="0"/>
                <w:sz w:val="24"/>
                <w:szCs w:val="24"/>
                <w:vertAlign w:val="baseline"/>
                <w:lang w:val="en-US" w:eastAsia="zh-CN"/>
              </w:rPr>
              <w:t>序号</w:t>
            </w:r>
          </w:p>
        </w:tc>
        <w:tc>
          <w:tcPr>
            <w:tcW w:w="1667" w:type="dxa"/>
            <w:tcBorders>
              <w:top w:val="single" w:color="auto" w:sz="12"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eastAsia" w:cs="Times New Roman"/>
                <w:b/>
                <w:bCs/>
                <w:color w:val="4A4949"/>
                <w:kern w:val="0"/>
                <w:sz w:val="24"/>
                <w:szCs w:val="24"/>
                <w:vertAlign w:val="baseline"/>
                <w:lang w:val="en-US" w:eastAsia="zh-CN"/>
              </w:rPr>
              <w:t>环评</w:t>
            </w:r>
            <w:r>
              <w:rPr>
                <w:rFonts w:hint="default" w:ascii="Times New Roman" w:hAnsi="Times New Roman" w:eastAsia="宋体" w:cs="Times New Roman"/>
                <w:b/>
                <w:bCs/>
                <w:color w:val="4A4949"/>
                <w:kern w:val="0"/>
                <w:sz w:val="24"/>
                <w:szCs w:val="24"/>
                <w:vertAlign w:val="baseline"/>
                <w:lang w:val="en-US" w:eastAsia="zh-CN"/>
              </w:rPr>
              <w:t>产品名称</w:t>
            </w:r>
          </w:p>
        </w:tc>
        <w:tc>
          <w:tcPr>
            <w:tcW w:w="1901" w:type="dxa"/>
            <w:tcBorders>
              <w:top w:val="single" w:color="auto" w:sz="12"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eastAsia" w:cs="Times New Roman"/>
                <w:b/>
                <w:bCs/>
                <w:color w:val="4A4949"/>
                <w:kern w:val="0"/>
                <w:sz w:val="24"/>
                <w:szCs w:val="24"/>
                <w:vertAlign w:val="baseline"/>
                <w:lang w:val="en-US" w:eastAsia="zh-CN"/>
              </w:rPr>
              <w:t>验收产品名称</w:t>
            </w:r>
          </w:p>
        </w:tc>
        <w:tc>
          <w:tcPr>
            <w:tcW w:w="2550" w:type="dxa"/>
            <w:tcBorders>
              <w:top w:val="single" w:color="auto" w:sz="12" w:space="0"/>
              <w:left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cs="Times New Roman"/>
                <w:b/>
                <w:bCs/>
                <w:color w:val="4A4949"/>
                <w:kern w:val="0"/>
                <w:sz w:val="24"/>
                <w:szCs w:val="24"/>
                <w:vertAlign w:val="baseline"/>
                <w:lang w:val="en-US" w:eastAsia="zh-CN"/>
              </w:rPr>
            </w:pPr>
            <w:r>
              <w:rPr>
                <w:rFonts w:hint="eastAsia" w:cs="Times New Roman"/>
                <w:b/>
                <w:bCs/>
                <w:color w:val="4A4949"/>
                <w:kern w:val="0"/>
                <w:sz w:val="24"/>
                <w:szCs w:val="24"/>
                <w:vertAlign w:val="baseline"/>
                <w:lang w:val="en-US" w:eastAsia="zh-CN"/>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4A4949"/>
                <w:kern w:val="0"/>
                <w:sz w:val="24"/>
                <w:szCs w:val="24"/>
                <w:vertAlign w:val="baseline"/>
                <w:lang w:val="en-US" w:eastAsia="zh-CN" w:bidi="ar-SA"/>
              </w:rPr>
            </w:pPr>
            <w:r>
              <w:rPr>
                <w:rFonts w:hint="default" w:ascii="Times New Roman" w:hAnsi="Times New Roman" w:eastAsia="宋体" w:cs="Times New Roman"/>
                <w:color w:val="4A4949"/>
                <w:kern w:val="0"/>
                <w:sz w:val="24"/>
                <w:szCs w:val="24"/>
                <w:vertAlign w:val="baseline"/>
                <w:lang w:val="en-US" w:eastAsia="zh-CN"/>
              </w:rPr>
              <w:t>1</w:t>
            </w:r>
          </w:p>
        </w:tc>
        <w:tc>
          <w:tcPr>
            <w:tcW w:w="1667"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eastAsia"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rPr>
              <w:t>变压器油箱</w:t>
            </w:r>
          </w:p>
        </w:tc>
        <w:tc>
          <w:tcPr>
            <w:tcW w:w="190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eastAsia="宋体" w:cs="Times New Roman"/>
                <w:color w:val="4A4949"/>
                <w:kern w:val="0"/>
                <w:sz w:val="24"/>
                <w:szCs w:val="24"/>
                <w:vertAlign w:val="baseline"/>
                <w:lang w:val="en-US" w:eastAsia="zh-CN" w:bidi="ar-SA"/>
              </w:rPr>
            </w:pPr>
            <w:r>
              <w:rPr>
                <w:rFonts w:hint="default" w:ascii="Times New Roman" w:hAnsi="Times New Roman" w:eastAsia="宋体" w:cs="Times New Roman"/>
                <w:b w:val="0"/>
                <w:bCs w:val="0"/>
                <w:kern w:val="2"/>
                <w:sz w:val="24"/>
                <w:szCs w:val="24"/>
                <w:lang w:val="en-US" w:eastAsia="zh-CN"/>
              </w:rPr>
              <w:t>变压器油箱</w:t>
            </w:r>
          </w:p>
        </w:tc>
        <w:tc>
          <w:tcPr>
            <w:tcW w:w="2550" w:type="dxa"/>
            <w:tcBorders>
              <w:left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Cs/>
                <w:kern w:val="2"/>
                <w:sz w:val="24"/>
                <w:szCs w:val="24"/>
                <w:lang w:val="en-US" w:eastAsia="zh-CN" w:bidi="ar-SA"/>
              </w:rPr>
            </w:pPr>
            <w:r>
              <w:rPr>
                <w:rFonts w:hint="eastAsia"/>
                <w:bCs/>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6" w:type="dxa"/>
            <w:tcBorders>
              <w:left w:val="nil"/>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4A4949"/>
                <w:kern w:val="0"/>
                <w:sz w:val="24"/>
                <w:szCs w:val="24"/>
                <w:vertAlign w:val="baseline"/>
                <w:lang w:val="en-US" w:eastAsia="zh-CN"/>
              </w:rPr>
            </w:pPr>
            <w:r>
              <w:rPr>
                <w:rFonts w:hint="eastAsia" w:cs="Times New Roman"/>
                <w:color w:val="4A4949"/>
                <w:kern w:val="0"/>
                <w:sz w:val="24"/>
                <w:szCs w:val="24"/>
                <w:vertAlign w:val="baseline"/>
                <w:lang w:val="en-US" w:eastAsia="zh-CN"/>
              </w:rPr>
              <w:t>2</w:t>
            </w:r>
          </w:p>
        </w:tc>
        <w:tc>
          <w:tcPr>
            <w:tcW w:w="1667" w:type="dxa"/>
            <w:tcBorders>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val="0"/>
                <w:kern w:val="2"/>
                <w:sz w:val="24"/>
                <w:szCs w:val="24"/>
                <w:lang w:val="en-US" w:eastAsia="zh-CN"/>
              </w:rPr>
              <w:t>变压器</w:t>
            </w:r>
          </w:p>
        </w:tc>
        <w:tc>
          <w:tcPr>
            <w:tcW w:w="1901" w:type="dxa"/>
            <w:tcBorders>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b w:val="0"/>
                <w:bCs w:val="0"/>
                <w:kern w:val="2"/>
                <w:sz w:val="24"/>
                <w:szCs w:val="24"/>
                <w:lang w:val="en-US" w:eastAsia="zh-CN"/>
              </w:rPr>
              <w:t>变压器</w:t>
            </w:r>
          </w:p>
        </w:tc>
        <w:tc>
          <w:tcPr>
            <w:tcW w:w="2550" w:type="dxa"/>
            <w:tcBorders>
              <w:left w:val="single" w:color="auto" w:sz="4"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bCs/>
                <w:sz w:val="24"/>
                <w:szCs w:val="24"/>
                <w:lang w:val="en-US" w:eastAsia="zh-CN"/>
              </w:rPr>
            </w:pPr>
            <w:r>
              <w:rPr>
                <w:rFonts w:hint="eastAsia"/>
                <w:bCs/>
                <w:sz w:val="24"/>
                <w:szCs w:val="24"/>
                <w:lang w:val="en-US" w:eastAsia="zh-CN"/>
              </w:rPr>
              <w:t>无</w:t>
            </w:r>
          </w:p>
        </w:tc>
      </w:tr>
    </w:tbl>
    <w:p>
      <w:pPr>
        <w:pStyle w:val="17"/>
        <w:rPr>
          <w:rFonts w:hint="eastAsia"/>
          <w:lang w:val="en-US" w:eastAsia="zh-CN"/>
        </w:rPr>
      </w:pPr>
    </w:p>
    <w:p>
      <w:pPr>
        <w:pStyle w:val="7"/>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pPr>
      <w:bookmarkStart w:id="21" w:name="_Toc10193"/>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val="en-US" w:eastAsia="zh-CN"/>
        </w:rPr>
        <w:t>.2规模变化分析</w:t>
      </w:r>
      <w:bookmarkEnd w:id="21"/>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default" w:ascii="Times New Roman" w:hAnsi="Times New Roman" w:eastAsia="宋体" w:cs="Times New Roman"/>
          <w:sz w:val="28"/>
          <w:szCs w:val="28"/>
          <w:lang w:val="en-US" w:eastAsia="zh-CN"/>
        </w:rPr>
      </w:pPr>
      <w:bookmarkStart w:id="22" w:name="_Toc8403"/>
      <w:r>
        <w:rPr>
          <w:rFonts w:hint="eastAsia" w:ascii="Times New Roman" w:hAnsi="Times New Roman" w:eastAsia="宋体" w:cs="Times New Roman"/>
          <w:sz w:val="28"/>
          <w:szCs w:val="28"/>
          <w:lang w:val="en-US" w:eastAsia="zh-CN"/>
        </w:rPr>
        <w:t>3.2</w:t>
      </w:r>
      <w:r>
        <w:rPr>
          <w:rFonts w:hint="default" w:ascii="Times New Roman" w:hAnsi="Times New Roman" w:eastAsia="宋体" w:cs="Times New Roman"/>
          <w:sz w:val="28"/>
          <w:szCs w:val="28"/>
          <w:lang w:val="en-US" w:eastAsia="zh-CN"/>
        </w:rPr>
        <w:t>.1产能对照表</w:t>
      </w:r>
      <w:bookmarkEnd w:id="22"/>
    </w:p>
    <w:p>
      <w:pPr>
        <w:pStyle w:val="17"/>
        <w:keepNext w:val="0"/>
        <w:keepLines w:val="0"/>
        <w:pageBreakBefore w:val="0"/>
        <w:widowControl w:val="0"/>
        <w:numPr>
          <w:ilvl w:val="0"/>
          <w:numId w:val="0"/>
        </w:numPr>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z w:val="28"/>
          <w:szCs w:val="28"/>
          <w:lang w:val="en-US" w:eastAsia="zh-CN"/>
        </w:rPr>
      </w:pPr>
      <w:r>
        <w:rPr>
          <w:rFonts w:hint="eastAsia" w:cs="Times New Roman"/>
          <w:b/>
          <w:bCs/>
          <w:sz w:val="28"/>
          <w:szCs w:val="28"/>
          <w:lang w:val="en-US" w:eastAsia="zh-CN"/>
        </w:rPr>
        <w:t>表3</w:t>
      </w:r>
      <w:r>
        <w:rPr>
          <w:rFonts w:hint="default" w:ascii="Times New Roman" w:hAnsi="Times New Roman" w:eastAsia="宋体" w:cs="Times New Roman"/>
          <w:b/>
          <w:bCs/>
          <w:sz w:val="28"/>
          <w:szCs w:val="28"/>
          <w:lang w:val="en-US" w:eastAsia="zh-CN"/>
        </w:rPr>
        <w:t>产能对照表</w:t>
      </w:r>
    </w:p>
    <w:tbl>
      <w:tblPr>
        <w:tblStyle w:val="15"/>
        <w:tblW w:w="869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592"/>
        <w:gridCol w:w="1464"/>
        <w:gridCol w:w="1791"/>
        <w:gridCol w:w="31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default" w:ascii="Times New Roman" w:hAnsi="Times New Roman" w:eastAsia="宋体" w:cs="Times New Roman"/>
                <w:b/>
                <w:bCs/>
                <w:color w:val="4A4949"/>
                <w:kern w:val="0"/>
                <w:sz w:val="24"/>
                <w:szCs w:val="24"/>
                <w:vertAlign w:val="baseline"/>
                <w:lang w:val="en-US" w:eastAsia="zh-CN"/>
              </w:rPr>
              <w:t>序号</w:t>
            </w:r>
          </w:p>
        </w:tc>
        <w:tc>
          <w:tcPr>
            <w:tcW w:w="159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default" w:ascii="Times New Roman" w:hAnsi="Times New Roman" w:eastAsia="宋体" w:cs="Times New Roman"/>
                <w:b/>
                <w:bCs/>
                <w:color w:val="4A4949"/>
                <w:kern w:val="0"/>
                <w:sz w:val="24"/>
                <w:szCs w:val="24"/>
                <w:vertAlign w:val="baseline"/>
                <w:lang w:val="en-US" w:eastAsia="zh-CN"/>
              </w:rPr>
              <w:t>产品名称</w:t>
            </w:r>
          </w:p>
        </w:tc>
        <w:tc>
          <w:tcPr>
            <w:tcW w:w="146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eastAsia"/>
                <w:b/>
                <w:bCs/>
                <w:sz w:val="24"/>
                <w:szCs w:val="24"/>
                <w:lang w:val="en-US" w:eastAsia="zh-CN"/>
              </w:rPr>
              <w:t>环评生产能力（</w:t>
            </w:r>
            <w:r>
              <w:rPr>
                <w:rFonts w:hint="eastAsia"/>
                <w:b/>
                <w:bCs/>
                <w:sz w:val="24"/>
                <w:szCs w:val="24"/>
              </w:rPr>
              <w:t>/a</w:t>
            </w:r>
            <w:r>
              <w:rPr>
                <w:rFonts w:hint="eastAsia"/>
                <w:b/>
                <w:bCs/>
                <w:sz w:val="24"/>
                <w:szCs w:val="24"/>
                <w:lang w:val="en-US" w:eastAsia="zh-CN"/>
              </w:rPr>
              <w:t>）</w:t>
            </w:r>
          </w:p>
        </w:tc>
        <w:tc>
          <w:tcPr>
            <w:tcW w:w="179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rPr>
            </w:pPr>
            <w:r>
              <w:rPr>
                <w:rFonts w:hint="default" w:ascii="Times New Roman" w:hAnsi="Times New Roman" w:eastAsia="宋体" w:cs="Times New Roman"/>
                <w:b/>
                <w:bCs/>
                <w:color w:val="4A4949"/>
                <w:kern w:val="0"/>
                <w:sz w:val="24"/>
                <w:szCs w:val="24"/>
                <w:vertAlign w:val="baseline"/>
                <w:lang w:val="en-US" w:eastAsia="zh-CN"/>
              </w:rPr>
              <w:t>验收</w:t>
            </w:r>
            <w:r>
              <w:rPr>
                <w:rFonts w:hint="eastAsia"/>
                <w:b/>
                <w:bCs/>
                <w:sz w:val="24"/>
                <w:szCs w:val="24"/>
                <w:lang w:val="en-US" w:eastAsia="zh-CN"/>
              </w:rPr>
              <w:t>生产能力（</w:t>
            </w:r>
            <w:r>
              <w:rPr>
                <w:rFonts w:hint="eastAsia"/>
                <w:b/>
                <w:bCs/>
                <w:sz w:val="24"/>
                <w:szCs w:val="24"/>
              </w:rPr>
              <w:t>/a</w:t>
            </w:r>
            <w:r>
              <w:rPr>
                <w:rFonts w:hint="eastAsia"/>
                <w:b/>
                <w:bCs/>
                <w:sz w:val="24"/>
                <w:szCs w:val="24"/>
                <w:lang w:val="en-US" w:eastAsia="zh-CN"/>
              </w:rPr>
              <w:t>）</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4A4949"/>
                <w:kern w:val="0"/>
                <w:sz w:val="24"/>
                <w:szCs w:val="24"/>
                <w:vertAlign w:val="baseline"/>
                <w:lang w:val="en-US" w:eastAsia="zh-CN" w:bidi="ar-SA"/>
              </w:rPr>
            </w:pPr>
            <w:r>
              <w:rPr>
                <w:rFonts w:hint="eastAsia" w:cs="Times New Roman"/>
                <w:b/>
                <w:bCs/>
                <w:color w:val="4A4949"/>
                <w:kern w:val="0"/>
                <w:sz w:val="24"/>
                <w:szCs w:val="24"/>
                <w:vertAlign w:val="baseline"/>
                <w:lang w:val="en-US" w:eastAsia="zh-CN"/>
              </w:rPr>
              <w:t>变化情况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2"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4A4949"/>
                <w:kern w:val="0"/>
                <w:sz w:val="24"/>
                <w:szCs w:val="24"/>
                <w:vertAlign w:val="baseline"/>
                <w:lang w:val="en-US" w:eastAsia="zh-CN" w:bidi="ar-SA"/>
              </w:rPr>
            </w:pPr>
            <w:r>
              <w:rPr>
                <w:rFonts w:hint="default" w:ascii="Times New Roman" w:hAnsi="Times New Roman" w:eastAsia="宋体" w:cs="Times New Roman"/>
                <w:color w:val="4A4949"/>
                <w:kern w:val="0"/>
                <w:sz w:val="24"/>
                <w:szCs w:val="24"/>
                <w:vertAlign w:val="baseline"/>
                <w:lang w:val="en-US" w:eastAsia="zh-CN"/>
              </w:rPr>
              <w:t>1</w:t>
            </w:r>
          </w:p>
        </w:tc>
        <w:tc>
          <w:tcPr>
            <w:tcW w:w="159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rPr>
              <w:t>变压器油箱</w:t>
            </w:r>
          </w:p>
        </w:tc>
        <w:tc>
          <w:tcPr>
            <w:tcW w:w="1464" w:type="dxa"/>
            <w:tcBorders>
              <w:tl2br w:val="nil"/>
              <w:tr2bl w:val="nil"/>
            </w:tcBorders>
            <w:vAlign w:val="center"/>
          </w:tcPr>
          <w:p>
            <w:pPr>
              <w:jc w:val="center"/>
              <w:textAlignment w:val="baseline"/>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rPr>
              <w:t>1600t</w:t>
            </w:r>
          </w:p>
        </w:tc>
        <w:tc>
          <w:tcPr>
            <w:tcW w:w="1791" w:type="dxa"/>
            <w:tcBorders>
              <w:tl2br w:val="nil"/>
              <w:tr2bl w:val="nil"/>
            </w:tcBorders>
            <w:vAlign w:val="center"/>
          </w:tcPr>
          <w:p>
            <w:pPr>
              <w:jc w:val="center"/>
              <w:textAlignment w:val="baseline"/>
              <w:rPr>
                <w:rFonts w:hint="default" w:ascii="Times New Roman" w:hAnsi="Times New Roman" w:eastAsia="宋体" w:cs="Times New Roman"/>
                <w:color w:val="4A4949"/>
                <w:kern w:val="0"/>
                <w:sz w:val="24"/>
                <w:szCs w:val="24"/>
                <w:vertAlign w:val="baseline"/>
                <w:lang w:val="en-US"/>
              </w:rPr>
            </w:pPr>
            <w:r>
              <w:rPr>
                <w:rFonts w:hint="default" w:ascii="Times New Roman" w:hAnsi="Times New Roman" w:eastAsia="宋体" w:cs="Times New Roman"/>
                <w:b w:val="0"/>
                <w:bCs w:val="0"/>
                <w:kern w:val="2"/>
                <w:sz w:val="24"/>
                <w:szCs w:val="24"/>
                <w:lang w:val="en-US" w:eastAsia="zh-CN"/>
              </w:rPr>
              <w:t>1600t</w:t>
            </w:r>
          </w:p>
        </w:tc>
        <w:tc>
          <w:tcPr>
            <w:tcW w:w="316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4A4949"/>
                <w:kern w:val="0"/>
                <w:sz w:val="24"/>
                <w:szCs w:val="24"/>
                <w:vertAlign w:val="baseline"/>
                <w:lang w:val="en-US" w:eastAsia="zh-CN" w:bidi="ar-SA"/>
              </w:rPr>
            </w:pPr>
            <w:r>
              <w:rPr>
                <w:rFonts w:hint="eastAsia" w:cs="Times New Roman"/>
                <w:color w:val="4A4949"/>
                <w:kern w:val="0"/>
                <w:sz w:val="24"/>
                <w:szCs w:val="24"/>
                <w:vertAlign w:val="baseline"/>
                <w:lang w:val="en-US" w:eastAsia="zh-CN"/>
              </w:rPr>
              <w:t>2</w:t>
            </w:r>
          </w:p>
        </w:tc>
        <w:tc>
          <w:tcPr>
            <w:tcW w:w="0" w:type="auto"/>
            <w:vAlign w:val="center"/>
          </w:tcPr>
          <w:p>
            <w:pPr>
              <w:keepNext w:val="0"/>
              <w:keepLines w:val="0"/>
              <w:pageBreakBefore w:val="0"/>
              <w:kinsoku/>
              <w:wordWrap/>
              <w:overflowPunct/>
              <w:topLinePunct w:val="0"/>
              <w:autoSpaceDE/>
              <w:autoSpaceDN/>
              <w:bidi w:val="0"/>
              <w:adjustRightInd w:val="0"/>
              <w:snapToGrid w:val="0"/>
              <w:jc w:val="center"/>
              <w:textAlignment w:val="baseline"/>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rPr>
              <w:t>变压器</w:t>
            </w:r>
          </w:p>
        </w:tc>
        <w:tc>
          <w:tcPr>
            <w:tcW w:w="0" w:type="auto"/>
            <w:vAlign w:val="center"/>
          </w:tcPr>
          <w:p>
            <w:pPr>
              <w:jc w:val="center"/>
              <w:textAlignment w:val="baseline"/>
              <w:rPr>
                <w:rFonts w:hint="default"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rPr>
              <w:t>450台</w:t>
            </w:r>
          </w:p>
        </w:tc>
        <w:tc>
          <w:tcPr>
            <w:tcW w:w="1791" w:type="dxa"/>
            <w:vAlign w:val="center"/>
          </w:tcPr>
          <w:p>
            <w:pPr>
              <w:jc w:val="center"/>
              <w:textAlignment w:val="baseline"/>
              <w:rPr>
                <w:rFonts w:hint="default" w:ascii="Times New Roman" w:hAnsi="Times New Roman" w:eastAsia="宋体" w:cs="Times New Roman"/>
                <w:color w:val="4A4949"/>
                <w:kern w:val="0"/>
                <w:sz w:val="24"/>
                <w:szCs w:val="24"/>
                <w:vertAlign w:val="baseline"/>
                <w:lang w:val="en-US"/>
              </w:rPr>
            </w:pPr>
            <w:r>
              <w:rPr>
                <w:rFonts w:hint="eastAsia" w:ascii="Times New Roman" w:hAnsi="Times New Roman" w:eastAsia="宋体" w:cs="Times New Roman"/>
                <w:b w:val="0"/>
                <w:bCs w:val="0"/>
                <w:kern w:val="2"/>
                <w:sz w:val="24"/>
                <w:szCs w:val="24"/>
                <w:lang w:val="en-US" w:eastAsia="zh-CN"/>
              </w:rPr>
              <w:t>450台</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Cs/>
                <w:kern w:val="2"/>
                <w:sz w:val="24"/>
                <w:szCs w:val="24"/>
                <w:lang w:val="en-US" w:eastAsia="zh-CN" w:bidi="ar-SA"/>
              </w:rPr>
            </w:pPr>
            <w:r>
              <w:rPr>
                <w:rFonts w:hint="eastAsia" w:cs="Times New Roman"/>
                <w:bCs/>
                <w:kern w:val="2"/>
                <w:sz w:val="24"/>
                <w:szCs w:val="24"/>
                <w:lang w:val="en-US" w:eastAsia="zh-CN" w:bidi="ar-SA"/>
              </w:rPr>
              <w:t>无</w:t>
            </w:r>
          </w:p>
        </w:tc>
      </w:tr>
    </w:tbl>
    <w:p>
      <w:pPr>
        <w:bidi w:val="0"/>
        <w:rPr>
          <w:rFonts w:hint="default"/>
          <w:lang w:val="en-US" w:eastAsia="zh-CN"/>
        </w:rPr>
      </w:pPr>
    </w:p>
    <w:p>
      <w:pPr>
        <w:pStyle w:val="8"/>
        <w:keepNext/>
        <w:keepLines/>
        <w:pageBreakBefore w:val="0"/>
        <w:widowControl w:val="0"/>
        <w:kinsoku/>
        <w:wordWrap/>
        <w:overflowPunct/>
        <w:topLinePunct w:val="0"/>
        <w:autoSpaceDE/>
        <w:autoSpaceDN/>
        <w:bidi w:val="0"/>
        <w:adjustRightInd w:val="0"/>
        <w:snapToGrid/>
        <w:spacing w:before="0" w:after="0" w:line="360" w:lineRule="auto"/>
        <w:textAlignment w:val="auto"/>
        <w:rPr>
          <w:rFonts w:hint="default" w:ascii="Times New Roman" w:hAnsi="Times New Roman" w:eastAsia="宋体" w:cs="Times New Roman"/>
          <w:lang w:val="en-US" w:eastAsia="zh-CN"/>
        </w:rPr>
      </w:pPr>
      <w:bookmarkStart w:id="23" w:name="_Toc24959"/>
      <w:r>
        <w:rPr>
          <w:rFonts w:hint="eastAsia" w:ascii="Times New Roman" w:hAnsi="Times New Roman" w:eastAsia="宋体" w:cs="Times New Roman"/>
          <w:lang w:val="en-US" w:eastAsia="zh-CN"/>
        </w:rPr>
        <w:t>3.2</w:t>
      </w:r>
      <w:r>
        <w:rPr>
          <w:rFonts w:hint="default" w:ascii="Times New Roman" w:hAnsi="Times New Roman" w:eastAsia="宋体" w:cs="Times New Roman"/>
          <w:lang w:val="en-US" w:eastAsia="zh-CN"/>
        </w:rPr>
        <w:t>.2储存能力</w:t>
      </w:r>
      <w:bookmarkEnd w:id="23"/>
    </w:p>
    <w:p>
      <w:pPr>
        <w:pStyle w:val="17"/>
        <w:bidi w:val="0"/>
        <w:rPr>
          <w:rFonts w:hint="default" w:ascii="Times New Roman" w:hAnsi="Times New Roman" w:eastAsia="宋体" w:cs="Times New Roman"/>
          <w:sz w:val="28"/>
          <w:szCs w:val="28"/>
          <w:lang w:val="en-US" w:eastAsia="zh-CN"/>
        </w:rPr>
      </w:pPr>
      <w:r>
        <w:rPr>
          <w:rFonts w:hint="eastAsia" w:cs="Times New Roman"/>
          <w:sz w:val="28"/>
          <w:szCs w:val="28"/>
          <w:lang w:val="en-US" w:eastAsia="zh-CN"/>
        </w:rPr>
        <w:t>储存能力与环评一致，未发生变化</w:t>
      </w:r>
      <w:r>
        <w:rPr>
          <w:rFonts w:hint="default" w:ascii="Times New Roman" w:hAnsi="Times New Roman" w:eastAsia="宋体" w:cs="Times New Roman"/>
          <w:sz w:val="28"/>
          <w:szCs w:val="28"/>
          <w:lang w:val="en-US" w:eastAsia="zh-CN"/>
        </w:rPr>
        <w:t>。</w:t>
      </w:r>
    </w:p>
    <w:p>
      <w:pPr>
        <w:pStyle w:val="7"/>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pPr>
      <w:bookmarkStart w:id="24" w:name="_Toc20370"/>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val="en-US" w:eastAsia="zh-CN"/>
        </w:rPr>
        <w:t>.3地点</w:t>
      </w:r>
      <w:bookmarkEnd w:id="24"/>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default" w:ascii="Times New Roman" w:hAnsi="Times New Roman" w:eastAsia="宋体" w:cs="Times New Roman"/>
          <w:sz w:val="28"/>
          <w:szCs w:val="28"/>
          <w:lang w:val="en-US" w:eastAsia="zh-CN"/>
        </w:rPr>
      </w:pPr>
      <w:bookmarkStart w:id="25" w:name="_Toc7045"/>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.3.1选址</w:t>
      </w:r>
      <w:bookmarkEnd w:id="25"/>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sz w:val="28"/>
          <w:szCs w:val="28"/>
          <w:lang w:val="en-US" w:eastAsia="zh-CN"/>
        </w:rPr>
      </w:pPr>
      <w:r>
        <w:rPr>
          <w:rFonts w:hint="eastAsia"/>
          <w:sz w:val="28"/>
          <w:szCs w:val="28"/>
          <w:lang w:val="en-US" w:eastAsia="zh-CN"/>
        </w:rPr>
        <w:t>公司位于海安市曲塘镇双楼工业园区 ，未发生变化。</w:t>
      </w:r>
    </w:p>
    <w:p>
      <w:pPr>
        <w:pStyle w:val="8"/>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lang w:val="en-US" w:eastAsia="zh-CN"/>
        </w:rPr>
      </w:pPr>
      <w:bookmarkStart w:id="26" w:name="_Toc16858"/>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.3.2平面布置</w:t>
      </w:r>
      <w:bookmarkEnd w:id="26"/>
    </w:p>
    <w:p>
      <w:pPr>
        <w:pStyle w:val="17"/>
        <w:jc w:val="both"/>
        <w:rPr>
          <w:rFonts w:hint="default" w:ascii="Times New Roman" w:hAnsi="Times New Roman" w:eastAsia="宋体" w:cs="Times New Roman"/>
          <w:sz w:val="28"/>
          <w:szCs w:val="28"/>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sz w:val="28"/>
          <w:szCs w:val="28"/>
          <w:lang w:val="en-US" w:eastAsia="zh-CN"/>
        </w:rPr>
        <w:t>公司原平面布置图见</w:t>
      </w:r>
      <w:r>
        <w:rPr>
          <w:rFonts w:hint="eastAsia" w:cs="Times New Roman"/>
          <w:sz w:val="28"/>
          <w:szCs w:val="28"/>
          <w:lang w:val="en-US" w:eastAsia="zh-CN"/>
        </w:rPr>
        <w:t>1</w:t>
      </w:r>
      <w:r>
        <w:rPr>
          <w:rFonts w:hint="default" w:ascii="Times New Roman" w:hAnsi="Times New Roman" w:eastAsia="宋体" w:cs="Times New Roman"/>
          <w:sz w:val="28"/>
          <w:szCs w:val="28"/>
          <w:lang w:val="en-US" w:eastAsia="zh-CN"/>
        </w:rPr>
        <w:t>，公司实际平面布置图见2。</w:t>
      </w:r>
    </w:p>
    <w:p>
      <w:pPr>
        <w:pStyle w:val="17"/>
        <w:ind w:left="0" w:leftChars="0" w:firstLine="0" w:firstLineChars="0"/>
        <w:jc w:val="both"/>
        <w:rPr>
          <w:rFonts w:hint="eastAsia" w:cs="Times New Roman"/>
          <w:b/>
          <w:bCs/>
          <w:sz w:val="28"/>
          <w:szCs w:val="28"/>
          <w:lang w:val="en-US" w:eastAsia="zh-CN"/>
        </w:rPr>
      </w:pPr>
      <w:r>
        <w:drawing>
          <wp:inline distT="0" distB="0" distL="114300" distR="114300">
            <wp:extent cx="8077835" cy="4855845"/>
            <wp:effectExtent l="0" t="0" r="1460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8077835" cy="4855845"/>
                    </a:xfrm>
                    <a:prstGeom prst="rect">
                      <a:avLst/>
                    </a:prstGeom>
                    <a:noFill/>
                    <a:ln>
                      <a:noFill/>
                    </a:ln>
                  </pic:spPr>
                </pic:pic>
              </a:graphicData>
            </a:graphic>
          </wp:inline>
        </w:drawing>
      </w:r>
    </w:p>
    <w:p>
      <w:pPr>
        <w:pStyle w:val="17"/>
        <w:ind w:left="0" w:leftChars="0" w:firstLine="0" w:firstLineChars="0"/>
        <w:jc w:val="center"/>
        <w:rPr>
          <w:rFonts w:hint="eastAsia" w:cs="Times New Roman"/>
          <w:b/>
          <w:bCs/>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Times New Roman"/>
          <w:b/>
          <w:bCs/>
          <w:sz w:val="28"/>
          <w:szCs w:val="28"/>
          <w:lang w:val="en-US" w:eastAsia="zh-CN"/>
        </w:rPr>
        <w:t>图</w:t>
      </w:r>
      <w:r>
        <w:rPr>
          <w:rFonts w:hint="default" w:ascii="Times New Roman" w:hAnsi="Times New Roman" w:eastAsia="宋体" w:cs="Times New Roman"/>
          <w:b/>
          <w:bCs/>
          <w:sz w:val="28"/>
          <w:szCs w:val="28"/>
          <w:lang w:val="en-US" w:eastAsia="zh-CN"/>
        </w:rPr>
        <w:t>1原平面布置</w:t>
      </w:r>
      <w:r>
        <w:rPr>
          <w:rFonts w:hint="eastAsia" w:cs="Times New Roman"/>
          <w:b/>
          <w:bCs/>
          <w:sz w:val="28"/>
          <w:szCs w:val="28"/>
          <w:lang w:val="en-US" w:eastAsia="zh-CN"/>
        </w:rPr>
        <w:t>图</w:t>
      </w:r>
    </w:p>
    <w:p>
      <w:pPr>
        <w:pStyle w:val="17"/>
        <w:bidi w:val="0"/>
        <w:ind w:left="0" w:leftChars="0" w:firstLine="0" w:firstLineChars="0"/>
        <w:jc w:val="both"/>
        <w:rPr>
          <w:rFonts w:hint="default" w:ascii="Times New Roman" w:hAnsi="Times New Roman" w:eastAsia="宋体" w:cs="Times New Roman"/>
          <w:sz w:val="28"/>
          <w:szCs w:val="28"/>
          <w:lang w:val="en-US" w:eastAsia="zh-CN"/>
        </w:rPr>
      </w:pPr>
      <w:r>
        <w:drawing>
          <wp:inline distT="0" distB="0" distL="114300" distR="114300">
            <wp:extent cx="7906385" cy="446722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906385" cy="4467225"/>
                    </a:xfrm>
                    <a:prstGeom prst="rect">
                      <a:avLst/>
                    </a:prstGeom>
                    <a:noFill/>
                    <a:ln>
                      <a:noFill/>
                    </a:ln>
                  </pic:spPr>
                </pic:pic>
              </a:graphicData>
            </a:graphic>
          </wp:inline>
        </w:drawing>
      </w:r>
    </w:p>
    <w:p>
      <w:pPr>
        <w:pStyle w:val="17"/>
        <w:bidi w:val="0"/>
        <w:ind w:left="0" w:leftChars="0" w:firstLine="0" w:firstLineChars="0"/>
        <w:jc w:val="center"/>
        <w:rPr>
          <w:rFonts w:hint="eastAsia" w:cs="Times New Roman"/>
          <w:b/>
          <w:bCs/>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Times New Roman"/>
          <w:b/>
          <w:bCs/>
          <w:sz w:val="28"/>
          <w:szCs w:val="28"/>
          <w:lang w:val="en-US" w:eastAsia="zh-CN"/>
        </w:rPr>
        <w:t>图2实际</w:t>
      </w:r>
      <w:r>
        <w:rPr>
          <w:rFonts w:hint="default" w:ascii="Times New Roman" w:hAnsi="Times New Roman" w:eastAsia="宋体" w:cs="Times New Roman"/>
          <w:b/>
          <w:bCs/>
          <w:sz w:val="28"/>
          <w:szCs w:val="28"/>
          <w:lang w:val="en-US" w:eastAsia="zh-CN"/>
        </w:rPr>
        <w:t>平面布置</w:t>
      </w:r>
      <w:r>
        <w:rPr>
          <w:rFonts w:hint="eastAsia" w:cs="Times New Roman"/>
          <w:b/>
          <w:bCs/>
          <w:sz w:val="28"/>
          <w:szCs w:val="28"/>
          <w:lang w:val="en-US" w:eastAsia="zh-CN"/>
        </w:rPr>
        <w:t>图</w:t>
      </w:r>
    </w:p>
    <w:p>
      <w:pPr>
        <w:pStyle w:val="17"/>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sz w:val="28"/>
          <w:szCs w:val="28"/>
          <w:lang w:val="en-US" w:eastAsia="zh-CN"/>
        </w:rPr>
      </w:pPr>
      <w:r>
        <w:rPr>
          <w:rFonts w:hint="eastAsia"/>
          <w:sz w:val="28"/>
          <w:szCs w:val="28"/>
          <w:lang w:val="en-US" w:eastAsia="zh-CN"/>
        </w:rPr>
        <w:t>生产车间布局发生变化，产能、原辅料未发生变化，因此属于一般变动。</w:t>
      </w:r>
    </w:p>
    <w:p>
      <w:pPr>
        <w:pStyle w:val="7"/>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pPr>
      <w:bookmarkStart w:id="27" w:name="_Toc2625"/>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4</w:t>
      </w:r>
      <w:r>
        <w:rPr>
          <w:rFonts w:hint="default" w:ascii="Times New Roman" w:hAnsi="Times New Roman" w:eastAsia="宋体" w:cs="Times New Roman"/>
          <w:sz w:val="28"/>
          <w:szCs w:val="28"/>
          <w:lang w:val="en-US" w:eastAsia="zh-CN"/>
        </w:rPr>
        <w:t>生产工艺</w:t>
      </w:r>
      <w:bookmarkEnd w:id="27"/>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default" w:ascii="Times New Roman" w:hAnsi="Times New Roman" w:eastAsia="宋体" w:cs="Times New Roman"/>
          <w:sz w:val="28"/>
          <w:szCs w:val="28"/>
          <w:lang w:val="en-US" w:eastAsia="zh-CN"/>
        </w:rPr>
      </w:pPr>
      <w:bookmarkStart w:id="28" w:name="_Toc12551"/>
      <w:r>
        <w:rPr>
          <w:rFonts w:hint="eastAsia"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t>.1生产工艺流程</w:t>
      </w:r>
      <w:bookmarkEnd w:id="28"/>
    </w:p>
    <w:p>
      <w:pPr>
        <w:pStyle w:val="20"/>
        <w:numPr>
          <w:ilvl w:val="0"/>
          <w:numId w:val="0"/>
        </w:numPr>
        <w:autoSpaceDE w:val="0"/>
        <w:autoSpaceDN w:val="0"/>
        <w:adjustRightInd w:val="0"/>
        <w:spacing w:line="360" w:lineRule="auto"/>
        <w:ind w:left="720" w:leftChars="0"/>
        <w:jc w:val="left"/>
        <w:rPr>
          <w:rFonts w:hint="default" w:eastAsia="宋体"/>
          <w:b/>
          <w:kern w:val="0"/>
          <w:sz w:val="28"/>
          <w:szCs w:val="28"/>
          <w:lang w:val="en-US" w:eastAsia="zh-CN"/>
        </w:rPr>
      </w:pPr>
      <w:r>
        <w:rPr>
          <w:rFonts w:hint="eastAsia"/>
          <w:b/>
          <w:kern w:val="0"/>
          <w:sz w:val="28"/>
          <w:szCs w:val="28"/>
          <w:lang w:val="en-US" w:eastAsia="zh-CN"/>
        </w:rPr>
        <w:t>实际生产工艺流程与环评一致，没有发生变动。</w:t>
      </w:r>
    </w:p>
    <w:p>
      <w:pPr>
        <w:pStyle w:val="20"/>
        <w:numPr>
          <w:ilvl w:val="0"/>
          <w:numId w:val="1"/>
        </w:numPr>
        <w:autoSpaceDE w:val="0"/>
        <w:autoSpaceDN w:val="0"/>
        <w:adjustRightInd w:val="0"/>
        <w:spacing w:line="360" w:lineRule="auto"/>
        <w:ind w:firstLine="0" w:firstLineChars="0"/>
        <w:jc w:val="left"/>
        <w:rPr>
          <w:b/>
          <w:kern w:val="0"/>
          <w:sz w:val="28"/>
          <w:szCs w:val="28"/>
        </w:rPr>
      </w:pPr>
      <w:r>
        <w:rPr>
          <w:rFonts w:hint="eastAsia"/>
          <w:b/>
          <w:kern w:val="0"/>
          <w:sz w:val="28"/>
          <w:szCs w:val="28"/>
        </w:rPr>
        <w:t>变压器油箱</w:t>
      </w:r>
      <w:r>
        <w:rPr>
          <w:b/>
          <w:kern w:val="0"/>
          <w:sz w:val="28"/>
          <w:szCs w:val="28"/>
        </w:rPr>
        <w:t>生产工艺流程：</w:t>
      </w:r>
    </w:p>
    <w:p>
      <w:pPr>
        <w:spacing w:line="360" w:lineRule="auto"/>
        <w:jc w:val="center"/>
        <w:rPr>
          <w:sz w:val="28"/>
          <w:szCs w:val="28"/>
        </w:rPr>
      </w:pPr>
      <w:r>
        <w:rPr>
          <w:sz w:val="28"/>
          <w:szCs w:val="28"/>
        </w:rPr>
        <w:t xml:space="preserve"> </w:t>
      </w:r>
      <w:r>
        <w:rPr>
          <w:sz w:val="28"/>
          <w:szCs w:val="28"/>
        </w:rPr>
        <w:drawing>
          <wp:inline distT="0" distB="0" distL="114300" distR="114300">
            <wp:extent cx="3373120" cy="4618355"/>
            <wp:effectExtent l="0" t="0" r="1016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3373120" cy="4618355"/>
                    </a:xfrm>
                    <a:prstGeom prst="rect">
                      <a:avLst/>
                    </a:prstGeom>
                    <a:noFill/>
                    <a:ln>
                      <a:noFill/>
                    </a:ln>
                  </pic:spPr>
                </pic:pic>
              </a:graphicData>
            </a:graphic>
          </wp:inline>
        </w:drawing>
      </w:r>
    </w:p>
    <w:p>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图</w:t>
      </w: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-1</w:t>
      </w:r>
      <w:r>
        <w:rPr>
          <w:rFonts w:hint="default" w:ascii="Times New Roman" w:hAnsi="Times New Roman" w:eastAsia="宋体" w:cs="Times New Roman"/>
          <w:b/>
          <w:kern w:val="0"/>
          <w:sz w:val="28"/>
          <w:szCs w:val="28"/>
        </w:rPr>
        <w:t>变压器油箱生产工艺流程图</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生产工艺流程及产污环节：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成型加工：利用成型机对冷板进行加工成型，使用剪板机、折弯机将热板和冷板根据要求进行剪裁，折弯等加工。设备用到液压油，液压油循环使用，由厂家定期更换，产生的废油不在厂内放置。该工序产生边角料S1、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（2）焊接：将工件按照设计要求，利用电焊机将冷板和热板根据需要进行焊接组合。焊接方式为二氧化碳气体保护焊。该工序产生焊接烟尘G1、焊渣S2以及噪声N；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（3）试漏：将焊接好的工件使用试验设备进行试漏检验，用水测试工件的密闭性，试漏用水循环使用不外排。该工序产生噪声N；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（4）钻孔：将完成试漏检验的工件使用钻床进行打孔处理。该工序产生边角料S3、噪声N；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抛丸：利用抛丸机将丸料喷射到钢件表面，利用钢丸的冲击力去除钢材表面的氧化皮和锈蚀，使钢筋线材表面获得良好的清理效果，同时消除钢材的内应力，提高表面抗疲劳强度，延长使用寿命。该工序产生抛丸粉尘G2、废钢丸S4、收集尘S5和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（6）打磨：人工使用小型手持打磨机对抛丸后的工件进行打磨，去除毛边。该工序产生打磨粉尘G3、收集尘S6以及噪声N；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（7）喷塑：组装好的产品进入喷塑房进行表面喷塑粉处理。使用喷枪进行喷塑。该工序产生塑粉粉尘G4、收集尘S7。</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（8）烘干固化：工件经表面喷涂后进入密闭的干燥箱进行烘干固化。烘干温度为200℃，时间为45min。项目使用电加热。该工序产生有机废气G5、废活性炭S8。</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（9）成品：烘干后的产品即为变压器油箱成品。</w:t>
      </w:r>
    </w:p>
    <w:p>
      <w:pPr>
        <w:keepNext w:val="0"/>
        <w:keepLines w:val="0"/>
        <w:pageBreakBefore w:val="0"/>
        <w:widowControl/>
        <w:kinsoku/>
        <w:wordWrap/>
        <w:overflowPunct/>
        <w:topLinePunct w:val="0"/>
        <w:autoSpaceDE w:val="0"/>
        <w:autoSpaceDN w:val="0"/>
        <w:bidi w:val="0"/>
        <w:adjustRightInd w:val="0"/>
        <w:snapToGrid w:val="0"/>
        <w:spacing w:after="0" w:line="360" w:lineRule="auto"/>
        <w:ind w:firstLine="562" w:firstLineChars="200"/>
        <w:jc w:val="left"/>
        <w:textAlignment w:val="auto"/>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2、干式变压器生产工艺流程：</w:t>
      </w:r>
    </w:p>
    <w:p>
      <w:pPr>
        <w:spacing w:line="360" w:lineRule="auto"/>
        <w:ind w:firstLine="465"/>
        <w:jc w:val="left"/>
        <w:rPr>
          <w:sz w:val="28"/>
          <w:szCs w:val="28"/>
        </w:rPr>
      </w:pPr>
      <w:r>
        <w:rPr>
          <w:sz w:val="28"/>
          <w:szCs w:val="28"/>
        </w:rPr>
        <w:drawing>
          <wp:inline distT="0" distB="0" distL="114300" distR="114300">
            <wp:extent cx="635" cy="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635" cy="0"/>
                    </a:xfrm>
                    <a:prstGeom prst="rect">
                      <a:avLst/>
                    </a:prstGeom>
                    <a:noFill/>
                    <a:ln>
                      <a:noFill/>
                    </a:ln>
                  </pic:spPr>
                </pic:pic>
              </a:graphicData>
            </a:graphic>
          </wp:inline>
        </w:drawing>
      </w:r>
      <w:r>
        <w:rPr>
          <w:sz w:val="28"/>
          <w:szCs w:val="28"/>
        </w:rPr>
        <w:drawing>
          <wp:inline distT="0" distB="0" distL="114300" distR="114300">
            <wp:extent cx="4625975" cy="4502785"/>
            <wp:effectExtent l="0" t="0" r="698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4625975" cy="4502785"/>
                    </a:xfrm>
                    <a:prstGeom prst="rect">
                      <a:avLst/>
                    </a:prstGeom>
                    <a:noFill/>
                    <a:ln>
                      <a:noFill/>
                    </a:ln>
                  </pic:spPr>
                </pic:pic>
              </a:graphicData>
            </a:graphic>
          </wp:inline>
        </w:drawing>
      </w:r>
    </w:p>
    <w:p>
      <w:pPr>
        <w:spacing w:line="360" w:lineRule="auto"/>
        <w:ind w:firstLine="465"/>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图5-2干式</w:t>
      </w:r>
      <w:r>
        <w:rPr>
          <w:rFonts w:hint="default" w:ascii="Times New Roman" w:hAnsi="Times New Roman" w:eastAsia="宋体" w:cs="Times New Roman"/>
          <w:b/>
          <w:kern w:val="0"/>
          <w:sz w:val="28"/>
          <w:szCs w:val="28"/>
        </w:rPr>
        <w:t>变压器生产工艺流程图</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生产工艺流程及产污环节：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主要分为两道工序，第一道是铁芯的制作，第二道是线圈的制作，两道工序同时进行，最后进行组装测试入库。具体如下：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（1）铁芯制作：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将硅钢片按图样使用剪板机剪切成所需的形状和尺寸，然后叠装成型，组装成铁芯。该工程剪切工序会产生边角料S9与噪声N。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（2）线圈制作：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外购的铜线经绕线机绕到模具上，然后对线圈进行整理，再用螺杆将线圈拉紧。线圈绕线结束后，需要对其进行绝缘处理，主要是在外面包裹一层环氧树脂即浇注。</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环氧浇注系统采用的原料主要为环氧树脂、固化剂按1:1比例组成的混合物。</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浇注：</w:t>
      </w:r>
      <w:r>
        <w:rPr>
          <w:rFonts w:hint="default" w:ascii="Times New Roman" w:hAnsi="Times New Roman" w:eastAsia="宋体" w:cs="Times New Roman"/>
          <w:sz w:val="28"/>
          <w:szCs w:val="28"/>
        </w:rPr>
        <w:t>浇注时首先将桶装的环氧树脂、固化剂一起倒入浇注设备的加热罐内，加热方式为电加热，在100℃的温度条件下预热1个小时，目的在于将混合物由稠变稀利于下一步的浇注。将绕有铜线的模具放入真空浇注罐内进行抽真空，环氧树脂和固化剂加热后通过管道进入搅拌桶，混合搅拌均匀后输入浇注罐内，通过抽真空包裹在线圈上。由于浇注采用的是环氧树脂、固化剂的混合物，</w:t>
      </w:r>
      <w:r>
        <w:rPr>
          <w:rFonts w:hint="default" w:ascii="Times New Roman" w:hAnsi="Times New Roman" w:eastAsia="宋体" w:cs="Times New Roman"/>
          <w:kern w:val="0"/>
          <w:sz w:val="28"/>
          <w:szCs w:val="28"/>
        </w:rPr>
        <w:t>使用时环氧固化剂是与环氧树脂发生化学反应，形成立体聚合物进行固化，</w:t>
      </w:r>
      <w:r>
        <w:rPr>
          <w:rFonts w:hint="default" w:ascii="Times New Roman" w:hAnsi="Times New Roman" w:eastAsia="宋体" w:cs="Times New Roman"/>
          <w:sz w:val="28"/>
          <w:szCs w:val="28"/>
        </w:rPr>
        <w:t>该过程会产生有机废气G6、废包装桶S10、废活性炭S11。</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烘干：</w:t>
      </w:r>
      <w:r>
        <w:rPr>
          <w:rFonts w:hint="default" w:ascii="Times New Roman" w:hAnsi="Times New Roman" w:eastAsia="宋体" w:cs="Times New Roman"/>
          <w:sz w:val="28"/>
          <w:szCs w:val="28"/>
        </w:rPr>
        <w:t>为了保证绝缘性，浇筑完成后的线圈使用行吊送入浇注设备中使用电加热的固化罐内进行烘干。后在130℃-150℃的温度下固化2h-3h，烘干之后自然冷却。该过程同样会产生有机废气G7、废活性炭S12。</w:t>
      </w:r>
    </w:p>
    <w:p>
      <w:pPr>
        <w:keepNext w:val="0"/>
        <w:keepLines w:val="0"/>
        <w:pageBreakBefore w:val="0"/>
        <w:widowControl/>
        <w:kinsoku/>
        <w:wordWrap/>
        <w:overflowPunct/>
        <w:topLinePunct w:val="0"/>
        <w:autoSpaceDE/>
        <w:autoSpaceDN/>
        <w:bidi w:val="0"/>
        <w:adjustRightInd w:val="0"/>
        <w:snapToGrid w:val="0"/>
        <w:spacing w:after="0" w:line="360" w:lineRule="auto"/>
        <w:ind w:firstLine="562" w:firstLineChars="2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（3）装配：</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将上述两道工序的半成品铁芯、线圈以及外壳（外购）经检验合格后交装配组进行组装，由质检人员进行测试合格后入库。</w:t>
      </w:r>
    </w:p>
    <w:p>
      <w:pPr>
        <w:autoSpaceDE w:val="0"/>
        <w:autoSpaceDN w:val="0"/>
        <w:adjustRightInd w:val="0"/>
        <w:spacing w:line="360" w:lineRule="auto"/>
        <w:ind w:firstLine="562" w:firstLineChars="200"/>
        <w:jc w:val="left"/>
        <w:rPr>
          <w:rFonts w:hint="default" w:ascii="Times New Roman" w:hAnsi="Times New Roman" w:eastAsia="宋体" w:cs="Times New Roman"/>
          <w:b/>
          <w:kern w:val="0"/>
          <w:sz w:val="28"/>
          <w:szCs w:val="28"/>
        </w:rPr>
      </w:pPr>
      <w:r>
        <w:rPr>
          <w:rFonts w:hint="default" w:ascii="Times New Roman" w:hAnsi="Times New Roman" w:eastAsia="宋体" w:cs="Times New Roman"/>
          <w:b/>
          <w:kern w:val="0"/>
          <w:sz w:val="28"/>
          <w:szCs w:val="28"/>
        </w:rPr>
        <w:t>3、油浸式变压器生产工艺流程：</w:t>
      </w:r>
    </w:p>
    <w:p>
      <w:pPr>
        <w:spacing w:line="360" w:lineRule="auto"/>
        <w:ind w:firstLine="420" w:firstLineChars="150"/>
        <w:jc w:val="center"/>
        <w:rPr>
          <w:sz w:val="28"/>
          <w:szCs w:val="28"/>
        </w:rPr>
      </w:pPr>
      <w:r>
        <w:rPr>
          <w:sz w:val="28"/>
          <w:szCs w:val="28"/>
        </w:rPr>
        <w:t xml:space="preserve"> </w:t>
      </w:r>
      <w:r>
        <w:rPr>
          <w:sz w:val="28"/>
          <w:szCs w:val="28"/>
        </w:rPr>
        <w:drawing>
          <wp:inline distT="0" distB="0" distL="114300" distR="114300">
            <wp:extent cx="4533265" cy="4479925"/>
            <wp:effectExtent l="0" t="0" r="825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533265" cy="44799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150"/>
        <w:jc w:val="center"/>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图5-3油浸式</w:t>
      </w:r>
      <w:r>
        <w:rPr>
          <w:rFonts w:hint="default" w:ascii="Times New Roman" w:hAnsi="Times New Roman" w:eastAsia="宋体" w:cs="Times New Roman"/>
          <w:b/>
          <w:kern w:val="0"/>
          <w:sz w:val="28"/>
          <w:szCs w:val="28"/>
        </w:rPr>
        <w:t>变压器生产工艺流程图</w:t>
      </w:r>
    </w:p>
    <w:p>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生产工艺流程及产污环节：</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主要分为三道工序，第一道是铁芯的制作，第二道是线圈的制作，第三道是角钢的加工，三道工序同时进行，最后进行组装测试入库。具体如下：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（1）铁芯制作：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将硅钢片卷料按图样剪切成所需的形状和尺寸，然后叠装成型组装成铁芯。该工程剪切工序会产生边角料S13与噪声N。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（2）线圈制作：</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外购的电磁线经线圈绕线机绕到模具上，然后对线圈进行整理，再用螺杆将线圈拉紧。将绕制好的线圈放置于除湿设备中进行除湿处理，其工作原理是：由风扇将潮湿空气抽入机内，通过热交换器，此时空气中的水份冷凝成水珠， 变成干燥的空气排出机外，如此循环使设备内湿度降低。除潮使线圈干燥其目的是除去变压器绝缘材料中的水分和气体，使其含水量控制在产品质量要求的限度之内，增加其绝缘电阻，提高闪络电压，以保证变压器有足够的绝缘强度和运行寿命。该工序产生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（3）角钢加工：</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将外购的角钢使用联合冲剪机加工成所需的尺寸，然后使用电焊机焊接，焊接方式为二氧化碳气体保护焊。该工序产生焊接烟尘G8、噪声N。</w:t>
      </w:r>
    </w:p>
    <w:p>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（4）装配、加油、测试：</w:t>
      </w:r>
    </w:p>
    <w:p>
      <w:pPr>
        <w:pStyle w:val="17"/>
        <w:keepNext w:val="0"/>
        <w:keepLines w:val="0"/>
        <w:pageBreakBefore w:val="0"/>
        <w:widowControl/>
        <w:kinsoku/>
        <w:wordWrap/>
        <w:overflowPunct/>
        <w:topLinePunct w:val="0"/>
        <w:autoSpaceDE/>
        <w:autoSpaceDN/>
        <w:bidi w:val="0"/>
        <w:adjustRightInd w:val="0"/>
        <w:snapToGrid w:val="0"/>
        <w:spacing w:after="0" w:line="360" w:lineRule="auto"/>
        <w:ind w:firstLine="420"/>
        <w:textAlignment w:val="auto"/>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sz w:val="28"/>
          <w:szCs w:val="28"/>
        </w:rPr>
        <w:t>将上述三道工序的半成品铁芯、线圈、角钢以及外壳（外购）经检验合格后交装配组进行组装，将装配好的变压器，在真空状态下注入变压器油。由质检人员进行测试合格入库。该工序产生废变压器油S14</w:t>
      </w:r>
      <w:r>
        <w:rPr>
          <w:rFonts w:hint="default" w:ascii="Times New Roman" w:hAnsi="Times New Roman" w:eastAsia="宋体" w:cs="Times New Roman"/>
          <w:sz w:val="28"/>
          <w:szCs w:val="28"/>
          <w:lang w:eastAsia="zh-CN"/>
        </w:rPr>
        <w:t>。</w:t>
      </w:r>
    </w:p>
    <w:p>
      <w:pPr>
        <w:pStyle w:val="8"/>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cs="Times New Roman"/>
          <w:b/>
          <w:bCs/>
          <w:color w:val="4A4949"/>
          <w:kern w:val="0"/>
          <w:szCs w:val="28"/>
          <w:lang w:val="en-US" w:eastAsia="zh-CN"/>
        </w:rPr>
      </w:pPr>
      <w:bookmarkStart w:id="29" w:name="_Toc26162"/>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.2原辅料</w:t>
      </w:r>
      <w:r>
        <w:rPr>
          <w:rFonts w:hint="eastAsia" w:ascii="Times New Roman" w:hAnsi="Times New Roman" w:eastAsia="宋体" w:cs="Times New Roman"/>
          <w:lang w:val="en-US" w:eastAsia="zh-CN"/>
        </w:rPr>
        <w:t>及燃料</w:t>
      </w:r>
      <w:r>
        <w:rPr>
          <w:rFonts w:hint="default" w:ascii="Times New Roman" w:hAnsi="Times New Roman" w:eastAsia="宋体" w:cs="Times New Roman"/>
          <w:lang w:val="en-US" w:eastAsia="zh-CN"/>
        </w:rPr>
        <w:t>对照表</w:t>
      </w:r>
      <w:bookmarkEnd w:id="29"/>
    </w:p>
    <w:p>
      <w:pPr>
        <w:widowControl/>
        <w:spacing w:line="360" w:lineRule="auto"/>
        <w:ind w:firstLine="562" w:firstLineChars="200"/>
        <w:jc w:val="center"/>
        <w:rPr>
          <w:rFonts w:hint="default" w:ascii="Times New Roman" w:hAnsi="Times New Roman" w:eastAsia="宋体" w:cs="Times New Roman"/>
          <w:b/>
          <w:bCs/>
          <w:sz w:val="28"/>
          <w:szCs w:val="28"/>
          <w:lang w:val="en-US" w:eastAsia="zh-CN"/>
        </w:rPr>
      </w:pPr>
      <w:r>
        <w:rPr>
          <w:rFonts w:hint="eastAsia" w:cs="Times New Roman"/>
          <w:b/>
          <w:bCs/>
          <w:sz w:val="28"/>
          <w:szCs w:val="28"/>
          <w:lang w:val="en-US" w:eastAsia="zh-CN"/>
        </w:rPr>
        <w:t>表4原辅料及燃料</w:t>
      </w:r>
      <w:r>
        <w:rPr>
          <w:rFonts w:hint="default" w:ascii="Times New Roman" w:hAnsi="Times New Roman" w:eastAsia="宋体" w:cs="Times New Roman"/>
          <w:b/>
          <w:bCs/>
          <w:sz w:val="28"/>
          <w:szCs w:val="28"/>
          <w:lang w:val="en-US" w:eastAsia="zh-CN"/>
        </w:rPr>
        <w:t>对照表</w:t>
      </w:r>
    </w:p>
    <w:tbl>
      <w:tblPr>
        <w:tblStyle w:val="14"/>
        <w:tblW w:w="4847" w:type="pct"/>
        <w:jc w:val="right"/>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040"/>
        <w:gridCol w:w="1368"/>
        <w:gridCol w:w="1549"/>
        <w:gridCol w:w="1481"/>
        <w:gridCol w:w="1215"/>
        <w:gridCol w:w="15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58" w:hRule="atLeast"/>
          <w:tblHeader/>
          <w:jc w:val="right"/>
        </w:trPr>
        <w:tc>
          <w:tcPr>
            <w:tcW w:w="6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rPr>
            </w:pPr>
            <w:bookmarkStart w:id="30" w:name="_Toc3561"/>
            <w:r>
              <w:rPr>
                <w:rFonts w:hint="default" w:ascii="Times New Roman" w:hAnsi="Times New Roman" w:eastAsia="宋体" w:cs="Times New Roman"/>
                <w:b/>
                <w:sz w:val="24"/>
                <w:szCs w:val="24"/>
              </w:rPr>
              <w:t>序号</w:t>
            </w:r>
          </w:p>
        </w:tc>
        <w:tc>
          <w:tcPr>
            <w:tcW w:w="8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名称</w:t>
            </w:r>
          </w:p>
        </w:tc>
        <w:tc>
          <w:tcPr>
            <w:tcW w:w="948"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成分、规格</w:t>
            </w:r>
          </w:p>
        </w:tc>
        <w:tc>
          <w:tcPr>
            <w:tcW w:w="90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设计</w:t>
            </w:r>
            <w:r>
              <w:rPr>
                <w:rFonts w:hint="default" w:ascii="Times New Roman" w:hAnsi="Times New Roman" w:eastAsia="宋体" w:cs="Times New Roman"/>
                <w:b/>
                <w:sz w:val="24"/>
                <w:szCs w:val="24"/>
              </w:rPr>
              <w:t>年耗量</w:t>
            </w:r>
          </w:p>
        </w:tc>
        <w:tc>
          <w:tcPr>
            <w:tcW w:w="74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实际</w:t>
            </w:r>
            <w:r>
              <w:rPr>
                <w:rFonts w:hint="default" w:ascii="Times New Roman" w:hAnsi="Times New Roman" w:eastAsia="宋体" w:cs="Times New Roman"/>
                <w:b/>
                <w:sz w:val="24"/>
                <w:szCs w:val="24"/>
              </w:rPr>
              <w:t>年耗量</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来源及运输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523" w:hRule="atLeast"/>
          <w:jc w:val="right"/>
        </w:trPr>
        <w:tc>
          <w:tcPr>
            <w:tcW w:w="6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铜线</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120t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120t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硅钢片</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750t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750t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3</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冷板</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钢材</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1100t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1100t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4</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热板</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钢材</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500t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500t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5</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角钢</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150t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150t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18" w:hRule="atLeast"/>
          <w:jc w:val="right"/>
        </w:trPr>
        <w:tc>
          <w:tcPr>
            <w:tcW w:w="6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6</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焊丝、焊条</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7</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塑粉</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聚氨酯、颜填料、助剂等</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8</w:t>
            </w:r>
          </w:p>
        </w:tc>
        <w:tc>
          <w:tcPr>
            <w:tcW w:w="83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环氧树脂</w:t>
            </w:r>
          </w:p>
        </w:tc>
        <w:tc>
          <w:tcPr>
            <w:tcW w:w="948"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环氧树脂70-80%、增韧剂10-15%、活性硅微粉10-15%</w:t>
            </w:r>
          </w:p>
        </w:tc>
        <w:tc>
          <w:tcPr>
            <w:tcW w:w="907"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15t</w:t>
            </w:r>
          </w:p>
        </w:tc>
        <w:tc>
          <w:tcPr>
            <w:tcW w:w="744"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15t</w:t>
            </w:r>
          </w:p>
        </w:tc>
        <w:tc>
          <w:tcPr>
            <w:tcW w:w="924" w:type="pct"/>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9</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固化剂</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甲基四氢苯酐60-70%、增韧剂15-20%、活性硅微粉15-20%</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15t</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15t</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10</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二氧化碳</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7kg/瓶</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2.52t</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2.52t</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11</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氩气</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7kg/瓶</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0.28t</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sz w:val="24"/>
                <w:szCs w:val="24"/>
              </w:rPr>
              <w:t>0.28t</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12</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液压油</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20kg/桶，主要成分是</w:t>
            </w:r>
            <w:r>
              <w:rPr>
                <w:rFonts w:hint="default" w:ascii="Times New Roman" w:hAnsi="Times New Roman" w:eastAsia="宋体" w:cs="Times New Roman"/>
                <w:sz w:val="24"/>
                <w:szCs w:val="24"/>
                <w:shd w:val="clear" w:color="auto" w:fill="FFFFFF"/>
              </w:rPr>
              <w:t>防锈剂，抗磨剂，环烷基油，二甲基硅油，抗氧化剂，金属减活剂等</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1.3t</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1.3t</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13</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钢丸</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2t</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2t</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14</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变压器油</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shd w:val="clear" w:color="auto" w:fill="FFFFFF"/>
              </w:rPr>
              <w:t>主要成分是烷烃，环烷族饱和烃，芳香族不饱和烃等化合物</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160t</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160t</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right"/>
        </w:trPr>
        <w:tc>
          <w:tcPr>
            <w:tcW w:w="637" w:type="pct"/>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15</w:t>
            </w:r>
          </w:p>
        </w:tc>
        <w:tc>
          <w:tcPr>
            <w:tcW w:w="83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外壳</w:t>
            </w:r>
          </w:p>
        </w:tc>
        <w:tc>
          <w:tcPr>
            <w:tcW w:w="948"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不锈钢</w:t>
            </w:r>
          </w:p>
        </w:tc>
        <w:tc>
          <w:tcPr>
            <w:tcW w:w="907"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2000套</w:t>
            </w:r>
          </w:p>
        </w:tc>
        <w:tc>
          <w:tcPr>
            <w:tcW w:w="744" w:type="pct"/>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2000套</w:t>
            </w:r>
          </w:p>
        </w:tc>
        <w:tc>
          <w:tcPr>
            <w:tcW w:w="9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外购、汽运</w:t>
            </w:r>
          </w:p>
        </w:tc>
      </w:tr>
    </w:tbl>
    <w:p>
      <w:pPr>
        <w:bidi w:val="0"/>
        <w:rPr>
          <w:rFonts w:hint="eastAsia"/>
          <w:lang w:val="en-US" w:eastAsia="zh-CN"/>
        </w:rPr>
      </w:pPr>
    </w:p>
    <w:p>
      <w:pPr>
        <w:pStyle w:val="8"/>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.3生产设备对照表</w:t>
      </w:r>
      <w:bookmarkEnd w:id="30"/>
    </w:p>
    <w:p>
      <w:pPr>
        <w:widowControl/>
        <w:spacing w:line="360" w:lineRule="auto"/>
        <w:ind w:firstLine="562" w:firstLineChars="200"/>
        <w:jc w:val="center"/>
        <w:rPr>
          <w:rFonts w:hint="eastAsia"/>
          <w:lang w:val="en-US" w:eastAsia="zh-CN"/>
        </w:rPr>
      </w:pPr>
      <w:r>
        <w:rPr>
          <w:rFonts w:hint="eastAsia" w:cs="Times New Roman"/>
          <w:b/>
          <w:bCs/>
          <w:sz w:val="28"/>
          <w:szCs w:val="28"/>
          <w:lang w:val="en-US" w:eastAsia="zh-CN"/>
        </w:rPr>
        <w:t>表5生产设备</w:t>
      </w:r>
      <w:r>
        <w:rPr>
          <w:rFonts w:hint="default" w:ascii="Times New Roman" w:hAnsi="Times New Roman" w:eastAsia="宋体" w:cs="Times New Roman"/>
          <w:b/>
          <w:bCs/>
          <w:sz w:val="28"/>
          <w:szCs w:val="28"/>
          <w:lang w:val="en-US" w:eastAsia="zh-CN"/>
        </w:rPr>
        <w:t>对照表</w:t>
      </w:r>
    </w:p>
    <w:tbl>
      <w:tblPr>
        <w:tblStyle w:val="14"/>
        <w:tblW w:w="4303" w:type="pct"/>
        <w:jc w:val="center"/>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Layout w:type="fixed"/>
        <w:tblCellMar>
          <w:top w:w="0" w:type="dxa"/>
          <w:left w:w="108" w:type="dxa"/>
          <w:bottom w:w="0" w:type="dxa"/>
          <w:right w:w="108" w:type="dxa"/>
        </w:tblCellMar>
      </w:tblPr>
      <w:tblGrid>
        <w:gridCol w:w="729"/>
        <w:gridCol w:w="1507"/>
        <w:gridCol w:w="1718"/>
        <w:gridCol w:w="1431"/>
        <w:gridCol w:w="1949"/>
      </w:tblGrid>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tblHeader/>
          <w:jc w:val="center"/>
        </w:trPr>
        <w:tc>
          <w:tcPr>
            <w:tcW w:w="758" w:type="dxa"/>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序号</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sz w:val="24"/>
                <w:szCs w:val="24"/>
              </w:rPr>
              <w:t>名称</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b/>
                <w:sz w:val="24"/>
                <w:szCs w:val="24"/>
              </w:rPr>
              <w:t>规格型号</w:t>
            </w:r>
          </w:p>
        </w:tc>
        <w:tc>
          <w:tcPr>
            <w:tcW w:w="1487" w:type="dxa"/>
            <w:tcBorders>
              <w:right w:val="single" w:color="auto" w:sz="4" w:space="0"/>
            </w:tcBorders>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设计</w:t>
            </w:r>
            <w:r>
              <w:rPr>
                <w:rFonts w:hint="eastAsia" w:ascii="Times New Roman" w:hAnsi="Times New Roman" w:eastAsia="宋体" w:cs="Times New Roman"/>
                <w:b/>
                <w:sz w:val="24"/>
                <w:szCs w:val="24"/>
                <w:lang w:val="en-US" w:eastAsia="zh-CN"/>
              </w:rPr>
              <w:t>改扩建后</w:t>
            </w:r>
            <w:r>
              <w:rPr>
                <w:rFonts w:hint="default" w:ascii="Times New Roman" w:hAnsi="Times New Roman" w:eastAsia="宋体" w:cs="Times New Roman"/>
                <w:b/>
                <w:sz w:val="24"/>
                <w:szCs w:val="24"/>
              </w:rPr>
              <w:t>数量(台/套)</w:t>
            </w:r>
          </w:p>
        </w:tc>
        <w:tc>
          <w:tcPr>
            <w:tcW w:w="2026" w:type="dxa"/>
            <w:noWrap w:val="0"/>
            <w:vAlign w:val="center"/>
          </w:tcPr>
          <w:p>
            <w:pPr>
              <w:pStyle w:val="26"/>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lang w:val="en-US" w:eastAsia="zh-CN"/>
              </w:rPr>
              <w:t>实际</w:t>
            </w:r>
            <w:r>
              <w:rPr>
                <w:rFonts w:hint="eastAsia" w:ascii="Times New Roman" w:hAnsi="Times New Roman" w:eastAsia="宋体" w:cs="Times New Roman"/>
                <w:b/>
                <w:sz w:val="24"/>
                <w:szCs w:val="24"/>
                <w:lang w:val="en-US" w:eastAsia="zh-CN"/>
              </w:rPr>
              <w:t>改扩建后</w:t>
            </w:r>
            <w:r>
              <w:rPr>
                <w:rFonts w:hint="default" w:ascii="Times New Roman" w:hAnsi="Times New Roman" w:eastAsia="宋体" w:cs="Times New Roman"/>
                <w:b/>
                <w:sz w:val="24"/>
                <w:szCs w:val="24"/>
              </w:rPr>
              <w:t>数量(台/套)</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浇注设备</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2</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除湿设备</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3</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试验设备</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BZ-11</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4</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绕线机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WR-100</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6</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5</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筒式绕线机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BR1400-2</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6</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喷塑间</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2m*3m*2.5m</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2（1用1备）</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7</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抛丸机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2m*2m*2.2m</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8</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电焊机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NBC-350-1</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6</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6</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9</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成型机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CX-1400</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3</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10</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钻床</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Z3050ⅹ16-1</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3</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3</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11</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锯床</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12</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手持打磨机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4</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13</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剪板机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6C12Y-8ⅹ3200</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pacing w:val="4"/>
                <w:kern w:val="0"/>
                <w:sz w:val="24"/>
                <w:szCs w:val="24"/>
                <w:lang w:val="en-US" w:eastAsia="zh-CN" w:bidi="ar-SA"/>
              </w:rPr>
            </w:pPr>
            <w:r>
              <w:rPr>
                <w:rFonts w:hint="default" w:ascii="Times New Roman" w:hAnsi="Times New Roman" w:eastAsia="宋体" w:cs="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14</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折弯机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WC67Y-160/3200</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15</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干燥箱</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4m*2.5m*2.8m</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2（1用1备）</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16</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联合冲剪机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17</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储油罐</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8t</w:t>
            </w:r>
          </w:p>
        </w:tc>
        <w:tc>
          <w:tcPr>
            <w:tcW w:w="14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18</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空压机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1</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6" w:space="0"/>
          </w:tblBorders>
          <w:tblCellMar>
            <w:top w:w="0" w:type="dxa"/>
            <w:left w:w="108" w:type="dxa"/>
            <w:bottom w:w="0" w:type="dxa"/>
            <w:right w:w="108" w:type="dxa"/>
          </w:tblCellMar>
        </w:tblPrEx>
        <w:trPr>
          <w:trHeight w:val="454" w:hRule="atLeast"/>
          <w:jc w:val="center"/>
        </w:trPr>
        <w:tc>
          <w:tcPr>
            <w:tcW w:w="75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19</w:t>
            </w:r>
          </w:p>
        </w:tc>
        <w:tc>
          <w:tcPr>
            <w:tcW w:w="156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风机</w:t>
            </w:r>
          </w:p>
        </w:tc>
        <w:tc>
          <w:tcPr>
            <w:tcW w:w="178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w:t>
            </w:r>
          </w:p>
        </w:tc>
        <w:tc>
          <w:tcPr>
            <w:tcW w:w="1487"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10</w:t>
            </w:r>
          </w:p>
        </w:tc>
        <w:tc>
          <w:tcPr>
            <w:tcW w:w="2026"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zh-CN"/>
              </w:rPr>
              <w:t>4</w:t>
            </w:r>
          </w:p>
        </w:tc>
      </w:tr>
    </w:tbl>
    <w:p>
      <w:pPr>
        <w:bidi w:val="0"/>
        <w:rPr>
          <w:rFonts w:hint="eastAsia"/>
          <w:lang w:val="en-US" w:eastAsia="zh-CN"/>
        </w:rPr>
      </w:pPr>
    </w:p>
    <w:p>
      <w:pPr>
        <w:bidi w:val="0"/>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4A4949"/>
          <w:kern w:val="0"/>
          <w:sz w:val="28"/>
          <w:szCs w:val="28"/>
          <w:lang w:val="en-US" w:eastAsia="zh-CN"/>
        </w:rPr>
      </w:pPr>
      <w:r>
        <w:rPr>
          <w:rFonts w:hint="default" w:ascii="Times New Roman" w:hAnsi="Times New Roman" w:eastAsia="宋体" w:cs="Times New Roman"/>
          <w:sz w:val="24"/>
          <w:szCs w:val="24"/>
        </w:rPr>
        <w:t>喷塑间</w:t>
      </w:r>
      <w:r>
        <w:rPr>
          <w:rFonts w:hint="eastAsia" w:eastAsia="宋体" w:cs="Times New Roman"/>
          <w:sz w:val="24"/>
          <w:szCs w:val="24"/>
          <w:lang w:eastAsia="zh-CN"/>
        </w:rPr>
        <w:t>、</w:t>
      </w:r>
      <w:r>
        <w:rPr>
          <w:rFonts w:hint="eastAsia" w:eastAsia="宋体" w:cs="Times New Roman"/>
          <w:sz w:val="24"/>
          <w:szCs w:val="24"/>
          <w:lang w:val="en-US" w:eastAsia="zh-CN"/>
        </w:rPr>
        <w:t>干燥箱由原来的2台</w:t>
      </w:r>
      <w:r>
        <w:rPr>
          <w:rFonts w:hint="default" w:ascii="Times New Roman" w:hAnsi="Times New Roman" w:eastAsia="宋体" w:cs="Times New Roman"/>
          <w:sz w:val="24"/>
          <w:szCs w:val="24"/>
        </w:rPr>
        <w:t>（1用1备）</w:t>
      </w:r>
      <w:r>
        <w:rPr>
          <w:rFonts w:hint="eastAsia" w:eastAsia="宋体" w:cs="Times New Roman"/>
          <w:sz w:val="24"/>
          <w:szCs w:val="24"/>
          <w:lang w:val="en-US" w:eastAsia="zh-CN"/>
        </w:rPr>
        <w:t>减少至1台，喷塑间、干燥箱生产设备减少，没有备用设备，不新增产能、污染物和污染物量，因此不属于重大变动，风机由10台减少至4台，风机是辅助设备</w:t>
      </w:r>
      <w:r>
        <w:rPr>
          <w:rFonts w:hint="default" w:ascii="Times New Roman" w:hAnsi="Times New Roman" w:eastAsia="宋体" w:cs="Times New Roman"/>
          <w:color w:val="000000" w:themeColor="text1"/>
          <w:sz w:val="30"/>
          <w:szCs w:val="30"/>
          <w:lang w:val="en-US" w:eastAsia="zh-CN"/>
          <w14:textFill>
            <w14:solidFill>
              <w14:schemeClr w14:val="tx1"/>
            </w14:solidFill>
          </w14:textFill>
        </w:rPr>
        <w:t>。</w:t>
      </w:r>
    </w:p>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rPr>
      </w:pPr>
      <w:bookmarkStart w:id="31" w:name="_Toc13834"/>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eastAsia="zh-CN"/>
        </w:rPr>
        <w:t>.4物料运输、装卸、贮存方式</w:t>
      </w:r>
      <w:bookmarkEnd w:id="31"/>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宋体" w:cs="Times New Roman"/>
          <w:color w:val="4A4949"/>
          <w:kern w:val="0"/>
          <w:sz w:val="28"/>
          <w:szCs w:val="28"/>
          <w:lang w:val="en-US" w:eastAsia="zh-CN"/>
        </w:rPr>
      </w:pPr>
      <w:r>
        <w:rPr>
          <w:rFonts w:hint="default" w:ascii="Times New Roman" w:hAnsi="Times New Roman" w:eastAsia="宋体" w:cs="Times New Roman"/>
          <w:sz w:val="28"/>
          <w:szCs w:val="28"/>
        </w:rPr>
        <w:t>物料运输、装卸、贮存方式</w:t>
      </w:r>
      <w:r>
        <w:rPr>
          <w:rFonts w:hint="eastAsia" w:ascii="Times New Roman" w:hAnsi="Times New Roman" w:eastAsia="宋体" w:cs="Times New Roman"/>
          <w:sz w:val="28"/>
          <w:szCs w:val="28"/>
          <w:lang w:val="en-US" w:eastAsia="zh-CN"/>
        </w:rPr>
        <w:t>没有发生变化。</w:t>
      </w:r>
    </w:p>
    <w:p>
      <w:pPr>
        <w:pStyle w:val="7"/>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pPr>
      <w:bookmarkStart w:id="32" w:name="_Toc16644"/>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5</w:t>
      </w:r>
      <w:r>
        <w:rPr>
          <w:rFonts w:hint="default" w:ascii="Times New Roman" w:hAnsi="Times New Roman" w:eastAsia="宋体" w:cs="Times New Roman"/>
          <w:sz w:val="28"/>
          <w:szCs w:val="28"/>
          <w:lang w:val="en-US" w:eastAsia="zh-CN"/>
        </w:rPr>
        <w:t>环境保护措施</w:t>
      </w:r>
      <w:bookmarkEnd w:id="32"/>
    </w:p>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lang w:val="en-US" w:eastAsia="zh-CN"/>
        </w:rPr>
      </w:pPr>
      <w:bookmarkStart w:id="33" w:name="_Toc12915"/>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1废气环境保护措施</w:t>
      </w:r>
      <w:bookmarkEnd w:id="33"/>
    </w:p>
    <w:p>
      <w:pPr>
        <w:spacing w:line="360" w:lineRule="auto"/>
        <w:ind w:firstLine="562" w:firstLineChars="200"/>
        <w:rPr>
          <w:rFonts w:hint="eastAsia"/>
          <w:sz w:val="28"/>
          <w:szCs w:val="28"/>
          <w:lang w:val="en-US" w:eastAsia="zh-CN"/>
        </w:rPr>
      </w:pPr>
      <w:r>
        <w:rPr>
          <w:rFonts w:hint="eastAsia"/>
          <w:b/>
          <w:bCs/>
          <w:sz w:val="28"/>
          <w:szCs w:val="28"/>
          <w:lang w:val="en-US" w:eastAsia="zh-CN"/>
        </w:rPr>
        <w:t>变动前</w:t>
      </w:r>
      <w:r>
        <w:rPr>
          <w:rFonts w:hint="eastAsia"/>
          <w:sz w:val="28"/>
          <w:szCs w:val="28"/>
          <w:lang w:val="en-US" w:eastAsia="zh-CN"/>
        </w:rPr>
        <w:t>：</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本项目营运期产生的废气污染物主要为焊接烟尘（G1、G8）；抛丸粉尘（G2）；打磨粉尘（G3）；喷塑粉尘（G4）；烘干固化时产生的有机废气（G5）；浇注、烘干时产生的有机废气（G6、G7）。</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（1）焊接烟尘（G1、G8）</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项目在焊接工序中产生焊接烟尘。该部分废气量较少，于车间无组织排放。</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（2）抛丸粉尘（G2）</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本项目抛丸工序会产生粉尘</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本项目对变压器油箱表面进行抛丸清理。粉尘经设备配套的袋式除尘器收集处理后，由15m高排气筒（1#）有组织排放</w:t>
      </w:r>
      <w:r>
        <w:rPr>
          <w:rFonts w:hint="eastAsia" w:ascii="Times New Roman" w:hAnsi="Times New Roman" w:cs="Times New Roman"/>
          <w:sz w:val="28"/>
          <w:szCs w:val="28"/>
          <w:lang w:eastAsia="zh-CN"/>
        </w:rPr>
        <w:t>。</w:t>
      </w:r>
      <w:r>
        <w:rPr>
          <w:rFonts w:hint="default" w:ascii="Times New Roman" w:hAnsi="Times New Roman" w:eastAsia="宋体" w:cs="Times New Roman"/>
          <w:sz w:val="28"/>
          <w:szCs w:val="28"/>
        </w:rPr>
        <w:t>未收集到的粉尘无组织排放。</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（3）打磨粉尘（G3）</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项目在使用手持打磨机对工件不平整处进行打磨时会产生打磨粉尘，打磨尘颗粒较大，大部分粉尘会在打磨点附近沉降，未收集到的粉尘无组织排放。</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（4）喷塑粉尘（G4）</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喷塑过程产生的粉尘经设备配套的滤芯收集处理，尾气由15m高（2#）排气筒排放。未收集到的粉尘无组织排放。滤芯回收的塑粉再利用。</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（5）固化废气（G5）</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经静电喷涂后进入密闭的干燥箱进行干燥固化，在固化过程中会产生有机废气。非甲烷总烃收集后采用活性炭吸附处理</w:t>
      </w:r>
      <w:r>
        <w:rPr>
          <w:rFonts w:hint="eastAsia" w:ascii="Times New Roman" w:hAnsi="Times New Roman" w:cs="Times New Roman"/>
          <w:sz w:val="28"/>
          <w:szCs w:val="28"/>
          <w:lang w:val="en-US" w:eastAsia="zh-CN"/>
        </w:rPr>
        <w:t>后</w:t>
      </w:r>
      <w:r>
        <w:rPr>
          <w:rFonts w:hint="default" w:ascii="Times New Roman" w:hAnsi="Times New Roman" w:eastAsia="宋体" w:cs="Times New Roman"/>
          <w:sz w:val="28"/>
          <w:szCs w:val="28"/>
        </w:rPr>
        <w:t>通过15m高排气筒（2#）排放。未收集到的非甲烷总烃于车间内无组织排放。</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（6）浇注、烘干废气（G6、G7）</w:t>
      </w:r>
    </w:p>
    <w:p>
      <w:pPr>
        <w:pStyle w:val="9"/>
        <w:keepNext w:val="0"/>
        <w:keepLines w:val="0"/>
        <w:pageBreakBefore w:val="0"/>
        <w:widowControl w:val="0"/>
        <w:kinsoku/>
        <w:wordWrap/>
        <w:overflowPunct/>
        <w:topLinePunct w:val="0"/>
        <w:bidi w:val="0"/>
        <w:adjustRightInd w:val="0"/>
        <w:snapToGrid w:val="0"/>
        <w:spacing w:line="360" w:lineRule="auto"/>
        <w:ind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在干式变压器生产过程中，浇注、烘干会产生少量有机废气。设置集气罩，并配置</w:t>
      </w:r>
      <w:r>
        <w:rPr>
          <w:rFonts w:hint="eastAsia" w:ascii="Times New Roman" w:hAnsi="Times New Roman" w:cs="Times New Roman"/>
          <w:sz w:val="28"/>
          <w:szCs w:val="28"/>
          <w:lang w:val="en-US" w:eastAsia="zh-CN"/>
        </w:rPr>
        <w:t>二级</w:t>
      </w:r>
      <w:r>
        <w:rPr>
          <w:rFonts w:hint="default" w:ascii="Times New Roman" w:hAnsi="Times New Roman" w:eastAsia="宋体" w:cs="Times New Roman"/>
          <w:sz w:val="28"/>
          <w:szCs w:val="28"/>
        </w:rPr>
        <w:t>活性炭吸附装置处理后，通过15m高（3#）的排气筒排放。</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sz w:val="28"/>
          <w:szCs w:val="28"/>
          <w:lang w:val="en-US" w:eastAsia="zh-CN"/>
        </w:rPr>
      </w:pPr>
      <w:r>
        <w:rPr>
          <w:rFonts w:hint="eastAsia"/>
          <w:b/>
          <w:bCs/>
          <w:sz w:val="28"/>
          <w:szCs w:val="28"/>
          <w:lang w:val="en-US" w:eastAsia="zh-CN"/>
        </w:rPr>
        <w:t>变动后</w:t>
      </w:r>
      <w:r>
        <w:rPr>
          <w:rFonts w:hint="eastAsia"/>
          <w:sz w:val="28"/>
          <w:szCs w:val="28"/>
          <w:lang w:val="en-US" w:eastAsia="zh-CN"/>
        </w:rPr>
        <w:t>：</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本项目产生的废气污染物主要为焊接烟尘（G1、G8）；抛丸粉尘（G2）；打磨粉尘（G3）；喷塑粉尘（G4）；烘干固化时产生的有机废气（G5）；浇注、烘干时产生的有机废气（G6、G7）。</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（1）焊接烟尘（G1、G8）</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项目在焊接工序中产生焊接烟尘，焊接烟尘经移动式烟尘净化器处理后于车间无组织排放。</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（2）抛丸粉尘（G2）</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本项目抛丸工序会产生粉尘，本项目对变压器油箱表面进行抛丸清理。粉尘经设备配套的袋式除尘器收集处理后，由15m高排气筒（1#）有组织排放。未收集到的粉尘无组织排放。</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（3）打磨粉尘（G3）</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项目在使用手持打磨机对工件不平整处进行打磨时会产生打磨粉尘，打磨粉尘在车间内无组织。</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（4）喷塑粉尘（G4）</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本项目采用人工喷塑，喷塑房大小为2m*3m*3.5m。喷塑过程产生的粉尘经设备配套的旋风+滤芯收集处理，尾气由15m高（2#）排气筒排放。未收集到的粉尘无组织排放。</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（5）固化废气（G5）</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经静电喷涂后进入密闭的干燥箱进行干燥固化，在固化过程中会产生有机废气。在干燥箱顶部设置管道收集废气，非甲烷总烃收集后采用活性炭吸附处理后通过15m高排气筒（3#）排放，未收集到的非甲烷总烃于车间内无组织排放。</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（6）浇注、烘干废气（G6、G7）</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在干式变压器生产过程中，浇注、烘干会产生少量有机废气。非甲烷总烃收集后通过二级活性炭吸附装置处理后，通过15m高（4#）的排气筒排放，未收集到的非甲烷总烃于车间内无组织排放。</w:t>
      </w:r>
    </w:p>
    <w:p>
      <w:pPr>
        <w:pStyle w:val="17"/>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变动前后，有组织废气颗粒物、</w:t>
      </w:r>
      <w:r>
        <w:rPr>
          <w:rFonts w:hint="eastAsia" w:cs="Times New Roman"/>
          <w:sz w:val="28"/>
          <w:szCs w:val="28"/>
          <w:lang w:val="en-US" w:eastAsia="zh-CN"/>
        </w:rPr>
        <w:t>非甲烷总烃总量</w:t>
      </w:r>
      <w:r>
        <w:rPr>
          <w:rFonts w:hint="default" w:ascii="Times New Roman" w:hAnsi="Times New Roman" w:eastAsia="宋体" w:cs="Times New Roman"/>
          <w:sz w:val="28"/>
          <w:szCs w:val="28"/>
          <w:lang w:val="en-US" w:eastAsia="zh-CN"/>
        </w:rPr>
        <w:t>没有发生变化。</w:t>
      </w:r>
    </w:p>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lang w:val="en-US" w:eastAsia="zh-CN"/>
        </w:rPr>
      </w:pPr>
      <w:bookmarkStart w:id="34" w:name="_Toc4548"/>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2废水环境保护措施</w:t>
      </w:r>
      <w:bookmarkEnd w:id="3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sz w:val="28"/>
          <w:szCs w:val="28"/>
          <w:lang w:val="en-US" w:eastAsia="zh-CN"/>
        </w:rPr>
      </w:pPr>
      <w:r>
        <w:rPr>
          <w:rFonts w:hint="eastAsia"/>
          <w:b w:val="0"/>
          <w:bCs w:val="0"/>
          <w:sz w:val="28"/>
          <w:szCs w:val="28"/>
          <w:lang w:val="en-US" w:eastAsia="zh-CN"/>
        </w:rPr>
        <w:t>变动前后，设有一个3m*2m*1.2m的水池用于存储试验用水，试验用水循环使用，定期添加，不外排；生活污水经化粪池预处理，经园区污水管网排入海安曲塘滇池水务有限公司进行集中处理，</w:t>
      </w:r>
      <w:r>
        <w:rPr>
          <w:rFonts w:hint="eastAsia"/>
          <w:sz w:val="28"/>
          <w:szCs w:val="28"/>
          <w:lang w:val="en-US" w:eastAsia="zh-CN"/>
        </w:rPr>
        <w:t>废水处理措施没有发生变化。</w:t>
      </w:r>
    </w:p>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lang w:val="en-US" w:eastAsia="zh-CN"/>
        </w:rPr>
      </w:pPr>
      <w:bookmarkStart w:id="35" w:name="_Toc22756"/>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3噪声环境保护措施</w:t>
      </w:r>
      <w:bookmarkEnd w:id="35"/>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变动前</w:t>
      </w:r>
      <w:r>
        <w:rPr>
          <w:rFonts w:hint="eastAsia" w:eastAsia="宋体" w:cs="Times New Roman"/>
          <w:sz w:val="28"/>
          <w:szCs w:val="28"/>
          <w:lang w:val="en-US" w:eastAsia="zh-CN"/>
        </w:rPr>
        <w:t>后</w:t>
      </w:r>
      <w:r>
        <w:rPr>
          <w:rFonts w:hint="default" w:ascii="Times New Roman" w:hAnsi="Times New Roman" w:eastAsia="宋体" w:cs="Times New Roman"/>
          <w:sz w:val="28"/>
          <w:szCs w:val="28"/>
          <w:lang w:val="en-US" w:eastAsia="zh-CN"/>
        </w:rPr>
        <w:t>，</w:t>
      </w:r>
      <w:r>
        <w:rPr>
          <w:rFonts w:hint="eastAsia" w:cs="Times New Roman"/>
          <w:sz w:val="28"/>
          <w:szCs w:val="28"/>
          <w:lang w:val="en-US" w:eastAsia="zh-CN"/>
        </w:rPr>
        <w:t>建设单位</w:t>
      </w:r>
      <w:r>
        <w:rPr>
          <w:rFonts w:hint="default" w:ascii="Times New Roman" w:hAnsi="Times New Roman" w:eastAsia="宋体" w:cs="Times New Roman"/>
          <w:sz w:val="28"/>
          <w:szCs w:val="28"/>
          <w:lang w:val="en-US" w:eastAsia="zh-CN"/>
        </w:rPr>
        <w:t>高噪声设备通过厂房隔声、减振、距离衰减等措施，可使厂界噪声满足《工业企业厂界环境噪声排放标准》（GB12348-2008）2类、4类标准要求，达到降噪效果</w:t>
      </w:r>
      <w:r>
        <w:rPr>
          <w:rFonts w:hint="eastAsia" w:eastAsia="宋体" w:cs="Times New Roman"/>
          <w:sz w:val="28"/>
          <w:szCs w:val="28"/>
          <w:lang w:val="en-US" w:eastAsia="zh-CN"/>
        </w:rPr>
        <w:t>，无变动</w:t>
      </w:r>
      <w:r>
        <w:rPr>
          <w:rFonts w:hint="default" w:ascii="Times New Roman" w:hAnsi="Times New Roman" w:eastAsia="宋体" w:cs="Times New Roman"/>
          <w:sz w:val="28"/>
          <w:szCs w:val="28"/>
          <w:lang w:val="en-US" w:eastAsia="zh-CN"/>
        </w:rPr>
        <w:t>。</w:t>
      </w:r>
    </w:p>
    <w:p>
      <w:pPr>
        <w:pStyle w:val="8"/>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宋体" w:cs="Times New Roman"/>
          <w:lang w:val="en-US" w:eastAsia="zh-CN"/>
        </w:rPr>
      </w:pPr>
      <w:bookmarkStart w:id="36" w:name="_Toc5244"/>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4土壤、地下水环境保护措施</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sz w:val="28"/>
          <w:szCs w:val="28"/>
          <w:lang w:val="en-US" w:eastAsia="zh-CN"/>
        </w:rPr>
      </w:pPr>
      <w:r>
        <w:rPr>
          <w:rFonts w:hint="eastAsia"/>
          <w:sz w:val="28"/>
          <w:szCs w:val="28"/>
          <w:lang w:val="en-US" w:eastAsia="zh-CN"/>
        </w:rPr>
        <w:t>变动前后，危废仓库地面防腐防渗，无变动；一般固废暂存场所、生产车间地面硬化。</w:t>
      </w:r>
    </w:p>
    <w:p>
      <w:pPr>
        <w:pStyle w:val="8"/>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Times New Roman" w:hAnsi="Times New Roman" w:eastAsia="宋体" w:cs="Times New Roman"/>
          <w:lang w:val="en-US" w:eastAsia="zh-CN"/>
        </w:rPr>
      </w:pPr>
      <w:bookmarkStart w:id="37" w:name="_Toc11833"/>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5固体废物环境保护措施</w:t>
      </w:r>
      <w:bookmarkEnd w:id="37"/>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jc w:val="both"/>
        <w:textAlignment w:val="auto"/>
        <w:rPr>
          <w:rFonts w:hint="eastAsia"/>
          <w:sz w:val="28"/>
          <w:szCs w:val="28"/>
          <w:lang w:val="en-US" w:eastAsia="zh-CN"/>
        </w:rPr>
      </w:pPr>
      <w:r>
        <w:rPr>
          <w:rFonts w:hint="eastAsia"/>
          <w:sz w:val="28"/>
          <w:szCs w:val="28"/>
          <w:lang w:val="en-US" w:eastAsia="zh-CN"/>
        </w:rPr>
        <w:t>变动前，一般固体废物主要为</w:t>
      </w:r>
      <w:r>
        <w:rPr>
          <w:rFonts w:hint="eastAsia" w:ascii="宋体" w:hAnsi="宋体" w:eastAsia="宋体" w:cs="宋体"/>
          <w:b w:val="0"/>
          <w:bCs w:val="0"/>
          <w:color w:val="000000"/>
          <w:sz w:val="28"/>
          <w:szCs w:val="28"/>
        </w:rPr>
        <w:t>生活垃圾</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边角料</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焊渣</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废钢丸</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收集尘</w:t>
      </w:r>
      <w:r>
        <w:rPr>
          <w:rFonts w:hint="eastAsia" w:ascii="宋体" w:hAnsi="宋体" w:cs="宋体"/>
          <w:b w:val="0"/>
          <w:bCs w:val="0"/>
          <w:color w:val="000000"/>
          <w:sz w:val="28"/>
          <w:szCs w:val="28"/>
          <w:lang w:eastAsia="zh-CN"/>
        </w:rPr>
        <w:t>、</w:t>
      </w:r>
      <w:r>
        <w:rPr>
          <w:rFonts w:hint="eastAsia" w:ascii="宋体" w:hAnsi="宋体" w:eastAsia="宋体" w:cs="宋体"/>
          <w:b w:val="0"/>
          <w:bCs w:val="0"/>
          <w:color w:val="000000"/>
          <w:sz w:val="28"/>
          <w:szCs w:val="28"/>
        </w:rPr>
        <w:t>塑粉</w:t>
      </w:r>
      <w:r>
        <w:rPr>
          <w:rFonts w:hint="eastAsia"/>
          <w:sz w:val="28"/>
          <w:szCs w:val="28"/>
          <w:lang w:val="en-US" w:eastAsia="zh-CN"/>
        </w:rPr>
        <w:t>。危险废物主要有</w:t>
      </w:r>
      <w:r>
        <w:rPr>
          <w:rFonts w:hint="eastAsia" w:ascii="Times New Roman" w:hAnsi="Times New Roman" w:eastAsia="宋体" w:cs="Times New Roman"/>
          <w:color w:val="000000"/>
          <w:sz w:val="28"/>
          <w:szCs w:val="28"/>
          <w:lang w:val="en-US" w:eastAsia="zh-CN"/>
        </w:rPr>
        <w:t>废活性炭、废包装桶、废变压器油</w:t>
      </w:r>
      <w:r>
        <w:rPr>
          <w:rFonts w:hint="eastAsia" w:cs="Times New Roman"/>
          <w:color w:val="000000"/>
          <w:sz w:val="28"/>
          <w:szCs w:val="28"/>
          <w:lang w:val="en-US" w:eastAsia="zh-CN"/>
        </w:rPr>
        <w:t>、</w:t>
      </w:r>
      <w:r>
        <w:rPr>
          <w:rFonts w:eastAsia="宋体"/>
          <w:sz w:val="28"/>
          <w:szCs w:val="28"/>
        </w:rPr>
        <w:t>废UV灯管</w:t>
      </w:r>
      <w:r>
        <w:rPr>
          <w:rFonts w:hint="eastAsia"/>
          <w:sz w:val="28"/>
          <w:szCs w:val="28"/>
          <w:lang w:eastAsia="zh-CN"/>
        </w:rPr>
        <w:t>、</w:t>
      </w:r>
      <w:r>
        <w:rPr>
          <w:rFonts w:eastAsia="宋体"/>
          <w:sz w:val="28"/>
          <w:szCs w:val="28"/>
        </w:rPr>
        <w:t>废催化板</w:t>
      </w:r>
      <w:r>
        <w:rPr>
          <w:rFonts w:hint="eastAsia"/>
          <w:sz w:val="28"/>
          <w:szCs w:val="28"/>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jc w:val="both"/>
        <w:textAlignment w:val="auto"/>
        <w:rPr>
          <w:rFonts w:hint="eastAsia"/>
          <w:sz w:val="28"/>
          <w:szCs w:val="28"/>
          <w:lang w:val="en-US" w:eastAsia="zh-CN"/>
        </w:rPr>
      </w:pPr>
      <w:r>
        <w:rPr>
          <w:rFonts w:hint="eastAsia"/>
          <w:sz w:val="28"/>
          <w:szCs w:val="28"/>
          <w:lang w:val="en-US" w:eastAsia="zh-CN"/>
        </w:rPr>
        <w:t>变动后，一般固体废物主要为</w:t>
      </w:r>
      <w:r>
        <w:rPr>
          <w:rFonts w:hint="eastAsia" w:ascii="宋体" w:hAnsi="宋体" w:eastAsia="宋体" w:cs="宋体"/>
          <w:b w:val="0"/>
          <w:bCs w:val="0"/>
          <w:color w:val="000000"/>
          <w:sz w:val="28"/>
          <w:szCs w:val="28"/>
        </w:rPr>
        <w:t>生活垃圾</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边角料</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焊渣</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废钢丸</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收集尘</w:t>
      </w:r>
      <w:r>
        <w:rPr>
          <w:rFonts w:hint="eastAsia" w:ascii="宋体" w:hAnsi="宋体" w:cs="宋体"/>
          <w:b w:val="0"/>
          <w:bCs w:val="0"/>
          <w:color w:val="000000"/>
          <w:sz w:val="28"/>
          <w:szCs w:val="28"/>
          <w:lang w:eastAsia="zh-CN"/>
        </w:rPr>
        <w:t>、</w:t>
      </w:r>
      <w:r>
        <w:rPr>
          <w:rFonts w:hint="eastAsia" w:ascii="宋体" w:hAnsi="宋体" w:eastAsia="宋体" w:cs="宋体"/>
          <w:b w:val="0"/>
          <w:bCs w:val="0"/>
          <w:color w:val="000000"/>
          <w:sz w:val="28"/>
          <w:szCs w:val="28"/>
        </w:rPr>
        <w:t>塑粉</w:t>
      </w:r>
      <w:r>
        <w:rPr>
          <w:rFonts w:hint="eastAsia"/>
          <w:sz w:val="28"/>
          <w:szCs w:val="28"/>
          <w:lang w:val="en-US" w:eastAsia="zh-CN"/>
        </w:rPr>
        <w:t>。危险废物主要有</w:t>
      </w:r>
      <w:r>
        <w:rPr>
          <w:rFonts w:hint="eastAsia" w:ascii="Times New Roman" w:hAnsi="Times New Roman" w:eastAsia="宋体" w:cs="Times New Roman"/>
          <w:color w:val="000000"/>
          <w:sz w:val="28"/>
          <w:szCs w:val="28"/>
          <w:lang w:val="en-US" w:eastAsia="zh-CN"/>
        </w:rPr>
        <w:t>废活性炭、废包装桶、废变压器油</w:t>
      </w:r>
      <w:r>
        <w:rPr>
          <w:rFonts w:hint="eastAsia"/>
          <w:sz w:val="28"/>
          <w:szCs w:val="28"/>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textAlignment w:val="auto"/>
        <w:rPr>
          <w:rFonts w:hint="default"/>
          <w:sz w:val="30"/>
          <w:szCs w:val="30"/>
          <w:lang w:val="en-US" w:eastAsia="zh-CN"/>
        </w:rPr>
      </w:pPr>
      <w:r>
        <w:rPr>
          <w:rFonts w:hint="eastAsia"/>
          <w:sz w:val="30"/>
          <w:szCs w:val="30"/>
          <w:lang w:val="en-US" w:eastAsia="zh-CN"/>
        </w:rPr>
        <w:t>危险废物种类和数量减少，属于一般变动。</w:t>
      </w:r>
    </w:p>
    <w:p>
      <w:pPr>
        <w:pStyle w:val="8"/>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eastAsia" w:ascii="Times New Roman" w:hAnsi="Times New Roman" w:eastAsia="宋体" w:cs="Times New Roman"/>
          <w:lang w:val="en-US" w:eastAsia="zh-CN"/>
        </w:rPr>
      </w:pPr>
      <w:bookmarkStart w:id="38" w:name="_Toc15654"/>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5.6事故废水生产能力或拦截设施</w:t>
      </w:r>
      <w:bookmarkEnd w:id="38"/>
    </w:p>
    <w:p>
      <w:pPr>
        <w:widowControl/>
        <w:spacing w:line="360" w:lineRule="auto"/>
        <w:ind w:firstLine="560" w:firstLineChars="200"/>
        <w:jc w:val="left"/>
        <w:rPr>
          <w:rFonts w:hint="eastAsia" w:cs="Times New Roman"/>
          <w:color w:val="4A4949"/>
          <w:kern w:val="0"/>
          <w:sz w:val="28"/>
          <w:szCs w:val="28"/>
          <w:lang w:val="en-US" w:eastAsia="zh-CN"/>
        </w:rPr>
      </w:pPr>
      <w:r>
        <w:rPr>
          <w:rFonts w:hint="eastAsia" w:cs="Times New Roman"/>
          <w:color w:val="4A4949"/>
          <w:kern w:val="0"/>
          <w:sz w:val="28"/>
          <w:szCs w:val="28"/>
          <w:lang w:val="en-US" w:eastAsia="zh-CN"/>
        </w:rPr>
        <w:t>无事故废水生产能力或拦截设施要求。</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ascii="Times New Roman" w:hAnsi="Times New Roman" w:eastAsia="宋体" w:cs="Times New Roman"/>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9" w:name="_Toc30440"/>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结论</w:t>
      </w:r>
      <w:bookmarkEnd w:id="39"/>
    </w:p>
    <w:p>
      <w:pPr>
        <w:pStyle w:val="2"/>
        <w:spacing w:after="0"/>
        <w:ind w:left="0" w:leftChars="0" w:firstLine="0" w:firstLineChars="0"/>
        <w:jc w:val="center"/>
        <w:rPr>
          <w:rFonts w:ascii="Times New Roman" w:hAnsi="Times New Roman" w:eastAsia="宋体"/>
          <w:b/>
          <w:sz w:val="24"/>
          <w:szCs w:val="24"/>
        </w:rPr>
      </w:pPr>
      <w:r>
        <w:rPr>
          <w:rFonts w:hint="eastAsia"/>
          <w:b/>
          <w:sz w:val="24"/>
          <w:szCs w:val="24"/>
          <w:lang w:eastAsia="zh-CN"/>
        </w:rPr>
        <w:t>表</w:t>
      </w:r>
      <w:r>
        <w:rPr>
          <w:rFonts w:hint="eastAsia"/>
          <w:b/>
          <w:sz w:val="24"/>
          <w:szCs w:val="24"/>
          <w:lang w:val="en-US" w:eastAsia="zh-CN"/>
        </w:rPr>
        <w:t>6</w:t>
      </w:r>
      <w:r>
        <w:rPr>
          <w:rFonts w:hint="eastAsia" w:ascii="Times New Roman" w:hAnsi="Times New Roman" w:eastAsia="宋体"/>
          <w:b/>
          <w:sz w:val="24"/>
          <w:szCs w:val="24"/>
        </w:rPr>
        <w:t>建设项目非重大变动环境影响分析表</w:t>
      </w:r>
    </w:p>
    <w:tbl>
      <w:tblPr>
        <w:tblStyle w:val="14"/>
        <w:tblW w:w="13350"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95"/>
        <w:gridCol w:w="3983"/>
        <w:gridCol w:w="795"/>
        <w:gridCol w:w="2773"/>
        <w:gridCol w:w="30"/>
        <w:gridCol w:w="2629"/>
        <w:gridCol w:w="2345"/>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bookmarkStart w:id="40" w:name="_GoBack"/>
            <w:r>
              <w:rPr>
                <w:rFonts w:hint="default" w:ascii="Times New Roman" w:hAnsi="Times New Roman" w:eastAsia="宋体" w:cs="Times New Roman"/>
                <w:b/>
                <w:bCs/>
                <w:sz w:val="21"/>
                <w:szCs w:val="21"/>
              </w:rPr>
              <w:t>变动类别</w:t>
            </w: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重大变动认定条件</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有无重大变动</w:t>
            </w:r>
          </w:p>
        </w:tc>
        <w:tc>
          <w:tcPr>
            <w:tcW w:w="277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环评设计内容</w:t>
            </w:r>
          </w:p>
        </w:tc>
        <w:tc>
          <w:tcPr>
            <w:tcW w:w="26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实际建设内容</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非重大变动影响分析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性质</w:t>
            </w: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1.建设项目开发、使用功能发生变化的。</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277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变压器油箱、变压器</w:t>
            </w:r>
          </w:p>
        </w:tc>
        <w:tc>
          <w:tcPr>
            <w:tcW w:w="26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变压器油箱、变压器</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与环评一致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未发生变动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规模</w:t>
            </w: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2.生产、处置或储存能力增大30%及以上的。</w:t>
            </w: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277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eastAsia="zh-CN"/>
              </w:rPr>
              <w:t>年产变压器油箱1600t、变压器450台，</w:t>
            </w:r>
            <w:r>
              <w:rPr>
                <w:rFonts w:hint="eastAsia" w:ascii="Times New Roman" w:hAnsi="Times New Roman" w:eastAsia="宋体" w:cs="Times New Roman"/>
                <w:sz w:val="21"/>
                <w:szCs w:val="21"/>
                <w:lang w:val="en-US" w:eastAsia="zh-CN"/>
              </w:rPr>
              <w:t>储存能力见表2-2、表2-4</w:t>
            </w:r>
          </w:p>
        </w:tc>
        <w:tc>
          <w:tcPr>
            <w:tcW w:w="26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年产变压器油箱1600t、变压器450台，储存能力见表2-2、表2-4</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与环评一致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未发生变动。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3.生产、处置或储存能力增大，导致废水第一类污染物排放量增加的。</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277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年产变压器油箱1600t、变压器450台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储存能力见表2-2、表2-4</w:t>
            </w:r>
          </w:p>
        </w:tc>
        <w:tc>
          <w:tcPr>
            <w:tcW w:w="265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b/>
                <w:bCs/>
                <w:sz w:val="21"/>
                <w:szCs w:val="21"/>
                <w:lang w:val="en-US" w:eastAsia="zh-CN" w:bidi="ar-SA"/>
              </w:rPr>
            </w:pPr>
            <w:r>
              <w:rPr>
                <w:rFonts w:hint="eastAsia" w:ascii="Times New Roman" w:hAnsi="Times New Roman" w:eastAsia="宋体" w:cs="Times New Roman"/>
                <w:sz w:val="21"/>
                <w:szCs w:val="21"/>
                <w:lang w:val="en-US" w:eastAsia="zh-CN"/>
              </w:rPr>
              <w:t>年产变压器油箱1600t、变压器450台</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储存能力见表2-2、表2-4</w:t>
            </w:r>
            <w:r>
              <w:rPr>
                <w:rFonts w:hint="eastAsia" w:ascii="Times New Roman" w:hAnsi="Times New Roman" w:eastAsia="宋体" w:cs="Times New Roman"/>
                <w:b/>
                <w:bCs/>
                <w:sz w:val="21"/>
                <w:szCs w:val="21"/>
                <w:lang w:val="en-US" w:eastAsia="zh-CN"/>
              </w:rPr>
              <w:t>。</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与环评一致</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未发生变动。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本期项目位于</w:t>
            </w:r>
            <w:r>
              <w:rPr>
                <w:rFonts w:hint="eastAsia" w:cs="Times New Roman"/>
                <w:sz w:val="21"/>
                <w:szCs w:val="21"/>
                <w:lang w:eastAsia="zh-CN"/>
              </w:rPr>
              <w:t>海安市曲塘镇双楼工业园区</w:t>
            </w:r>
            <w:r>
              <w:rPr>
                <w:rFonts w:hint="default" w:ascii="Times New Roman" w:hAnsi="Times New Roman" w:eastAsia="宋体" w:cs="Times New Roman"/>
                <w:sz w:val="21"/>
                <w:szCs w:val="21"/>
              </w:rPr>
              <w:t>，属于环境质量达标区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生产、处置或储存能力</w:t>
            </w:r>
            <w:r>
              <w:rPr>
                <w:rFonts w:hint="eastAsia" w:ascii="Times New Roman" w:hAnsi="Times New Roman" w:eastAsia="宋体" w:cs="Times New Roman"/>
                <w:sz w:val="21"/>
                <w:szCs w:val="21"/>
                <w:lang w:val="en-US" w:eastAsia="zh-CN"/>
              </w:rPr>
              <w:t>与环评一致。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地点</w:t>
            </w: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5.重新选址；在原厂址附近调整（包括总平面布置变化）导致环境防护距离范围变化且新增敏感点的。</w:t>
            </w: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本项目地址与环评设计保持一致，平面布置及车间分布与环评</w:t>
            </w:r>
            <w:r>
              <w:rPr>
                <w:rFonts w:hint="eastAsia" w:cs="Times New Roman"/>
                <w:sz w:val="21"/>
                <w:szCs w:val="21"/>
                <w:lang w:val="en-US" w:eastAsia="zh-CN"/>
              </w:rPr>
              <w:t>发生变化，本公司大气评价等级是二级，无需设置环境防护距离，属于一般变动</w:t>
            </w:r>
            <w:r>
              <w:rPr>
                <w:rFonts w:hint="eastAsia" w:ascii="Times New Roman" w:hAnsi="Times New Roman" w:eastAsia="宋体" w:cs="Times New Roman"/>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31" w:hRule="atLeast"/>
          <w:jc w:val="center"/>
        </w:trPr>
        <w:tc>
          <w:tcPr>
            <w:tcW w:w="7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生产工艺</w:t>
            </w: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6.新增产品品种或生产工艺（含主要生产装置、设备及配套设施）、主要原辅材料、燃料变化，导致以下情形之一：</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（1）新增排放污染物种类的（毒性、挥发性降低的除外）；（2）位于环境质量不达标区的建设项目相应污染物排放量增加的；（3）废水第一类污染物排放量增加的；（4）其他污染物排放量增加10%及以上的。</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28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bidi="ar-SA"/>
              </w:rPr>
              <w:t>生产设备详见表2-1</w:t>
            </w:r>
          </w:p>
        </w:tc>
        <w:tc>
          <w:tcPr>
            <w:tcW w:w="262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生产设备详见表2-1，</w:t>
            </w:r>
            <w:r>
              <w:rPr>
                <w:rFonts w:hint="eastAsia" w:cs="Times New Roman"/>
                <w:sz w:val="21"/>
                <w:szCs w:val="21"/>
                <w:lang w:val="en-US" w:eastAsia="zh-CN"/>
              </w:rPr>
              <w:t>喷塑间和干燥箱由2台（一用一备）减少至1台，</w:t>
            </w:r>
            <w:r>
              <w:rPr>
                <w:rFonts w:hint="eastAsia" w:eastAsia="宋体" w:cs="Times New Roman"/>
                <w:sz w:val="21"/>
                <w:szCs w:val="21"/>
                <w:lang w:val="en-US" w:eastAsia="zh-CN"/>
              </w:rPr>
              <w:t>风机由10台减少至4台</w:t>
            </w:r>
            <w:r>
              <w:rPr>
                <w:rFonts w:hint="eastAsia" w:cs="Times New Roman"/>
                <w:sz w:val="21"/>
                <w:szCs w:val="21"/>
                <w:lang w:val="en-US" w:eastAsia="zh-CN"/>
              </w:rPr>
              <w:t>。</w:t>
            </w:r>
            <w:r>
              <w:rPr>
                <w:rFonts w:hint="default" w:ascii="Times New Roman" w:hAnsi="Times New Roman" w:eastAsia="宋体" w:cs="Times New Roman"/>
                <w:sz w:val="21"/>
                <w:szCs w:val="21"/>
              </w:rPr>
              <w:t>产品品种、原辅材料、生产工艺与环评设计一致</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喷塑间</w:t>
            </w:r>
            <w:r>
              <w:rPr>
                <w:rFonts w:hint="eastAsia" w:eastAsia="宋体" w:cs="Times New Roman"/>
                <w:sz w:val="21"/>
                <w:szCs w:val="21"/>
                <w:lang w:eastAsia="zh-CN"/>
              </w:rPr>
              <w:t>、</w:t>
            </w:r>
            <w:r>
              <w:rPr>
                <w:rFonts w:hint="eastAsia" w:eastAsia="宋体" w:cs="Times New Roman"/>
                <w:sz w:val="21"/>
                <w:szCs w:val="21"/>
                <w:lang w:val="en-US" w:eastAsia="zh-CN"/>
              </w:rPr>
              <w:t>干燥箱由原来的2台</w:t>
            </w:r>
            <w:r>
              <w:rPr>
                <w:rFonts w:hint="default" w:ascii="Times New Roman" w:hAnsi="Times New Roman" w:eastAsia="宋体" w:cs="Times New Roman"/>
                <w:sz w:val="21"/>
                <w:szCs w:val="21"/>
              </w:rPr>
              <w:t>（1用1备）</w:t>
            </w:r>
            <w:r>
              <w:rPr>
                <w:rFonts w:hint="eastAsia" w:eastAsia="宋体" w:cs="Times New Roman"/>
                <w:sz w:val="21"/>
                <w:szCs w:val="21"/>
                <w:lang w:val="en-US" w:eastAsia="zh-CN"/>
              </w:rPr>
              <w:t>减少至1台，喷塑间、干燥箱生产设备减少，没有备用设备，不新增产能、污染物和污染物量，因此不属于重大变动，风机由10台减少至4台，风机是辅助设备</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31"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pP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7.物料运输、装卸、贮存方式变化，导致大气污染物无组织排放量增加10%及以上的。</w:t>
            </w: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物料运输、装卸、贮存方式与环评设计一致</w:t>
            </w:r>
            <w:r>
              <w:rPr>
                <w:rFonts w:hint="eastAsia" w:ascii="Times New Roman" w:hAnsi="Times New Roman" w:eastAsia="宋体" w:cs="Times New Roman"/>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环境保护措施</w:t>
            </w: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8.废气、废水污染防治措施变化，导致第6条中所列情形之一（废气无组织排放改为有组织排放、污染防治措施强化或改进的除外）或大气污染物无组织排放量增加10%及以上的。</w:t>
            </w:r>
          </w:p>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s="Times New Roman"/>
                <w:sz w:val="21"/>
                <w:szCs w:val="21"/>
              </w:rPr>
            </w:pPr>
          </w:p>
        </w:tc>
        <w:tc>
          <w:tcPr>
            <w:tcW w:w="79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w:t>
            </w:r>
          </w:p>
        </w:tc>
        <w:tc>
          <w:tcPr>
            <w:tcW w:w="28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bCs/>
                <w:sz w:val="21"/>
                <w:szCs w:val="21"/>
              </w:rPr>
              <w:t>废气</w:t>
            </w:r>
            <w:r>
              <w:rPr>
                <w:rFonts w:hint="eastAsia" w:ascii="Times New Roman" w:hAnsi="Times New Roman" w:eastAsia="宋体" w:cs="Times New Roman"/>
                <w:sz w:val="21"/>
                <w:szCs w:val="21"/>
                <w:lang w:eastAsia="zh-CN"/>
              </w:rPr>
              <w:t>：本项目营运期产生的废气污染物主要为焊接烟尘（G1、G8）；抛丸粉尘（G2）；打磨粉尘（G3）；喷塑粉尘（G4）；烘干固化时产生的有机废气（G5）；浇注、烘干时产生的有机废气（G6、G7）。</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（1）焊接烟尘（G1、G8）</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项目在焊接工序中产生焊接烟尘。该部分废气量较少，于车间无组织排放。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（2）抛丸粉尘（G2）</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本项目抛丸工序会产生粉尘，本项目对变压器油箱表面进行抛丸清理。粉尘经设备配套的袋式除尘器收集处理后，由15m高排气筒（1#）有组织排放。未收集到的粉尘无组织排放。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（3）打磨粉尘（G3）</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项目在使用手持打磨机对工件不平整处进行打磨时会产生打磨粉尘，打磨尘颗粒较大，大部分粉尘会在打磨点附近沉降，未收集到的粉尘无组织排放。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（4）喷塑粉尘（G4）</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喷塑过程产生的粉尘经设备配套的滤芯收集处理，尾气由15m高（2#）排气筒排放。未收集到的粉尘无组织排放。滤芯回收的塑粉再利用。</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（5）固化废气（G5）</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经静电喷涂后进入密闭的干燥箱进行干燥固化，在固化过程中会产生有机废气。非甲烷总烃收集后采用活性炭吸附处理后通过15m高排气筒（2#）排放。未收集到的非甲烷总烃于车间内无组织排放。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（6）浇注、烘干废气（G6、G7）</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在干式变压器生产过程中，浇注、烘干会产生少量有机废气。设置集气罩，并配置二级活性炭吸附装置处理后，通过15m高（3#）的排气筒排放。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bCs/>
                <w:sz w:val="21"/>
                <w:szCs w:val="21"/>
              </w:rPr>
              <w:t>废水</w:t>
            </w:r>
            <w:r>
              <w:rPr>
                <w:rFonts w:hint="eastAsia" w:ascii="Times New Roman" w:hAnsi="Times New Roman" w:eastAsia="宋体" w:cs="Times New Roman"/>
                <w:sz w:val="21"/>
                <w:szCs w:val="21"/>
                <w:lang w:eastAsia="zh-CN"/>
              </w:rPr>
              <w:t>：设有一个3m*2m*1.2m的水池用于存储试验用水，试验用水循环使用，定期添加，不外排；生活污水经化粪池预处理，经园区污水管网排入海安曲塘滇池水务有限公司进行集中处理。</w:t>
            </w:r>
          </w:p>
        </w:tc>
        <w:tc>
          <w:tcPr>
            <w:tcW w:w="262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b/>
                <w:bCs/>
                <w:sz w:val="21"/>
                <w:szCs w:val="21"/>
              </w:rPr>
              <w:t>废气</w:t>
            </w:r>
            <w:r>
              <w:rPr>
                <w:rFonts w:hint="eastAsia" w:ascii="Times New Roman" w:hAnsi="Times New Roman" w:eastAsia="宋体" w:cs="Times New Roman"/>
                <w:sz w:val="21"/>
                <w:szCs w:val="21"/>
                <w:lang w:eastAsia="zh-CN"/>
              </w:rPr>
              <w:t>：本项目产生的废气污染物主要为焊接烟尘（G1、G8）；抛丸粉尘（G2）；打磨粉尘（G3）；喷塑粉尘（G4）；烘干固化时产生的有机废气（G5）；浇注、烘干时产生的有机废气（G6、G7）。</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（1）焊接烟尘（G1、G8）</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项目在焊接工序中产生焊接烟尘，焊接烟尘经移动式烟尘净化器处理后于车间无组织排放。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（2）抛丸粉尘（G2）</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本项目抛丸工序会产生粉尘，本项目对变压器油箱表面进行抛丸清理。粉尘经设备配套的袋式除尘器收集处理后，由15m高排气筒（1#）有组织排放。未收集到的粉尘无组织排放。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（3）打磨粉尘（G3）</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项目在使用手持打磨机对工件不平整处进行打磨时会产生打磨粉尘，打磨粉尘在车间内无组织。</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（4）喷塑粉尘（G4）</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本项目采用人工喷塑，喷塑房大小为2m*3m*3.5m。喷塑过程产生的粉尘经设备配套的旋风+滤芯收集处理，尾气由15m高（2#）排气筒排放。未收集到的粉尘无组织排放。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（5）固化废气（G5）</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经静电喷涂后进入密闭的干燥箱进行干燥固化，在固化过程中会产生有机废气。在干燥箱顶部设置管道收集废气，非甲烷总烃收集后采用活性炭吸附处理后通过15m高排气筒（3#）排放，未收集到的非甲烷总烃于车间内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（6）浇注、烘干废气（G6、G7）</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在干式变压器生产过程中，浇注、烘干会产生少量有机废气。非甲烷总烃收集后通过二级活性炭吸附装置处理后，通过15m高（4#）的排气筒排放，未收集到的非甲烷总烃于车间内无组织排放。</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废水</w:t>
            </w:r>
            <w:r>
              <w:rPr>
                <w:rFonts w:hint="eastAsia" w:ascii="Times New Roman" w:hAnsi="Times New Roman" w:eastAsia="宋体" w:cs="Times New Roman"/>
                <w:sz w:val="21"/>
                <w:szCs w:val="21"/>
                <w:lang w:eastAsia="zh-CN"/>
              </w:rPr>
              <w:t>：设有一个3m*2m*1.2m的水池用于存储试验用水，试验用水循环使用，定期添加，不外排；生活污水经化粪池预处理，经园区污水管网排入海安曲塘滇池水务有限公司进行集中处理。</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变动前后，有组织废气颗粒物、非甲烷总烃总量没有发生变化</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因此属于一般变动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9.新增废水直接排放口；废水由间接排放改为直接排放；废水直接排放口位置变化，导致不利环境影响加重的。</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9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废水排放口1个，与环评设计一致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 新增废气主要排放口（废气无组织排放改为有组织排放的除外）；主要排放口排气筒高度降低 10% 及以上的。</w:t>
            </w: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280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eastAsia="宋体" w:cs="Times New Roman"/>
                <w:sz w:val="21"/>
                <w:szCs w:val="21"/>
                <w:lang w:val="en-US" w:eastAsia="zh-CN"/>
              </w:rPr>
              <w:t>废气排气筒</w:t>
            </w:r>
            <w:r>
              <w:rPr>
                <w:rFonts w:hint="eastAsia" w:cs="Times New Roman"/>
                <w:sz w:val="21"/>
                <w:szCs w:val="21"/>
                <w:lang w:val="en-US" w:eastAsia="zh-CN"/>
              </w:rPr>
              <w:t>3个</w:t>
            </w:r>
            <w:r>
              <w:rPr>
                <w:rFonts w:hint="eastAsia" w:ascii="Times New Roman" w:hAnsi="Times New Roman" w:eastAsia="宋体" w:cs="Times New Roman"/>
                <w:sz w:val="21"/>
                <w:szCs w:val="21"/>
                <w:lang w:val="en-US" w:eastAsia="zh-CN"/>
              </w:rPr>
              <w:t>，</w:t>
            </w:r>
            <w:r>
              <w:rPr>
                <w:rFonts w:hint="eastAsia" w:cs="Times New Roman"/>
                <w:sz w:val="21"/>
                <w:szCs w:val="21"/>
                <w:lang w:val="en-US" w:eastAsia="zh-CN"/>
              </w:rPr>
              <w:t>3</w:t>
            </w:r>
            <w:r>
              <w:rPr>
                <w:rFonts w:hint="eastAsia" w:ascii="Times New Roman" w:hAnsi="Times New Roman" w:eastAsia="宋体" w:cs="Times New Roman"/>
                <w:sz w:val="21"/>
                <w:szCs w:val="21"/>
                <w:lang w:val="en-US" w:eastAsia="zh-CN"/>
              </w:rPr>
              <w:t>个高度是</w:t>
            </w:r>
            <w:r>
              <w:rPr>
                <w:rFonts w:hint="eastAsia" w:cs="Times New Roman"/>
                <w:sz w:val="21"/>
                <w:szCs w:val="21"/>
                <w:lang w:val="en-US" w:eastAsia="zh-CN"/>
              </w:rPr>
              <w:t>15</w:t>
            </w:r>
            <w:r>
              <w:rPr>
                <w:rFonts w:hint="eastAsia" w:ascii="Times New Roman" w:hAnsi="Times New Roman" w:eastAsia="宋体" w:cs="Times New Roman"/>
                <w:sz w:val="21"/>
                <w:szCs w:val="21"/>
                <w:lang w:val="en-US" w:eastAsia="zh-CN"/>
              </w:rPr>
              <w:t>m</w:t>
            </w:r>
          </w:p>
        </w:tc>
        <w:tc>
          <w:tcPr>
            <w:tcW w:w="262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废气排气筒</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个，</w:t>
            </w:r>
            <w:r>
              <w:rPr>
                <w:rFonts w:hint="eastAsia" w:cs="Times New Roman"/>
                <w:sz w:val="21"/>
                <w:szCs w:val="21"/>
                <w:lang w:val="en-US" w:eastAsia="zh-CN"/>
              </w:rPr>
              <w:t>4</w:t>
            </w:r>
            <w:r>
              <w:rPr>
                <w:rFonts w:hint="eastAsia" w:ascii="Times New Roman" w:hAnsi="Times New Roman" w:eastAsia="宋体" w:cs="Times New Roman"/>
                <w:sz w:val="21"/>
                <w:szCs w:val="21"/>
                <w:lang w:val="en-US" w:eastAsia="zh-CN"/>
              </w:rPr>
              <w:t>个高度是</w:t>
            </w:r>
            <w:r>
              <w:rPr>
                <w:rFonts w:hint="eastAsia" w:cs="Times New Roman"/>
                <w:sz w:val="21"/>
                <w:szCs w:val="21"/>
                <w:lang w:val="en-US" w:eastAsia="zh-CN"/>
              </w:rPr>
              <w:t>15</w:t>
            </w:r>
            <w:r>
              <w:rPr>
                <w:rFonts w:hint="eastAsia" w:ascii="Times New Roman" w:hAnsi="Times New Roman" w:eastAsia="宋体" w:cs="Times New Roman"/>
                <w:sz w:val="21"/>
                <w:szCs w:val="21"/>
                <w:lang w:val="en-US" w:eastAsia="zh-CN"/>
              </w:rPr>
              <w:t>m</w:t>
            </w:r>
          </w:p>
        </w:tc>
        <w:tc>
          <w:tcPr>
            <w:tcW w:w="234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废气排放口数量</w:t>
            </w:r>
            <w:r>
              <w:rPr>
                <w:rFonts w:hint="eastAsia" w:cs="Times New Roman"/>
                <w:sz w:val="21"/>
                <w:szCs w:val="21"/>
                <w:lang w:val="en-US" w:eastAsia="zh-CN"/>
              </w:rPr>
              <w:t>增加</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有组织废气颗粒物、非甲烷总烃总量没有发生变化</w:t>
            </w:r>
            <w:r>
              <w:rPr>
                <w:rFonts w:hint="eastAsia" w:cs="Times New Roman"/>
                <w:sz w:val="21"/>
                <w:szCs w:val="21"/>
                <w:lang w:eastAsia="zh-CN"/>
              </w:rPr>
              <w:t>，</w:t>
            </w:r>
            <w:r>
              <w:rPr>
                <w:rFonts w:hint="eastAsia" w:ascii="Times New Roman" w:hAnsi="Times New Roman" w:eastAsia="宋体" w:cs="Times New Roman"/>
                <w:sz w:val="21"/>
                <w:szCs w:val="21"/>
                <w:lang w:val="en-US" w:eastAsia="zh-CN"/>
              </w:rPr>
              <w:t>属于一般变动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 噪声、土壤或地下水污染防治措施变化，导致不利环境影响加重的。</w:t>
            </w: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建设单位通过墙体隔声和距离衰减措施，达到降噪效果</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建设单位严格实施雨污分流，确保废水不混入雨水，进而渗透进入地下水；厂区主要生产、生活区域，地面实施硬化处理</w:t>
            </w:r>
            <w:r>
              <w:rPr>
                <w:rFonts w:hint="eastAsia" w:ascii="Times New Roman" w:hAnsi="Times New Roman" w:eastAsia="宋体" w:cs="Times New Roman"/>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 固体废物利用处置方式由委托外单位利用处置改为自行利用处置的（自行利用处置设施单独开展环境影响评价的除外）；固体废物自行处置方式变化，导致不利环境影响加重的。</w:t>
            </w: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固体废物按照环评要求，委外妥善处理</w:t>
            </w:r>
            <w:r>
              <w:rPr>
                <w:rFonts w:hint="eastAsia" w:ascii="Times New Roman" w:hAnsi="Times New Roman" w:eastAsia="宋体" w:cs="Times New Roman"/>
                <w:sz w:val="21"/>
                <w:szCs w:val="21"/>
                <w:lang w:eastAsia="zh-CN"/>
              </w:rPr>
              <w:t>。</w:t>
            </w:r>
            <w:r>
              <w:rPr>
                <w:rFonts w:hint="eastAsia" w:cs="Times New Roman"/>
                <w:sz w:val="21"/>
                <w:szCs w:val="21"/>
                <w:lang w:val="en-US" w:eastAsia="zh-CN"/>
              </w:rPr>
              <w:t>危险废物种类减少，属于一般变动。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398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 事故废水暂存能力或拦截设施变化，导致环境风险防范能力弱化或降低的。</w:t>
            </w:r>
          </w:p>
        </w:tc>
        <w:tc>
          <w:tcPr>
            <w:tcW w:w="79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rPr>
            </w:pPr>
          </w:p>
        </w:tc>
        <w:tc>
          <w:tcPr>
            <w:tcW w:w="777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cs="Times New Roman"/>
                <w:sz w:val="21"/>
                <w:szCs w:val="21"/>
                <w:lang w:val="en-US" w:eastAsia="zh-CN" w:bidi="ar-SA"/>
              </w:rPr>
            </w:pPr>
            <w:r>
              <w:rPr>
                <w:rFonts w:hint="eastAsia" w:cs="Times New Roman"/>
                <w:sz w:val="21"/>
                <w:szCs w:val="21"/>
                <w:lang w:val="en-US" w:eastAsia="zh-CN"/>
              </w:rPr>
              <w:t>无要求</w:t>
            </w:r>
          </w:p>
        </w:tc>
      </w:tr>
      <w:bookmarkEnd w:id="40"/>
    </w:tbl>
    <w:p>
      <w:pPr>
        <w:widowControl/>
        <w:spacing w:line="360" w:lineRule="auto"/>
        <w:ind w:firstLine="560" w:firstLineChars="200"/>
        <w:jc w:val="left"/>
        <w:rPr>
          <w:rFonts w:hint="eastAsia" w:cs="Times New Roman"/>
          <w:color w:val="4A4949"/>
          <w:kern w:val="0"/>
          <w:sz w:val="28"/>
          <w:szCs w:val="28"/>
          <w:lang w:val="en-US" w:eastAsia="zh-CN"/>
        </w:rPr>
      </w:pPr>
    </w:p>
    <w:p>
      <w:pPr>
        <w:widowControl/>
        <w:spacing w:line="360" w:lineRule="auto"/>
        <w:ind w:firstLine="560" w:firstLineChars="200"/>
        <w:jc w:val="left"/>
        <w:rPr>
          <w:rFonts w:hint="default" w:ascii="Times New Roman" w:hAnsi="Times New Roman" w:eastAsia="宋体" w:cs="Times New Roman"/>
          <w:color w:val="4A4949"/>
          <w:kern w:val="0"/>
          <w:sz w:val="28"/>
          <w:szCs w:val="28"/>
          <w:lang w:val="en-US" w:eastAsia="zh-CN"/>
        </w:rPr>
      </w:pPr>
      <w:r>
        <w:rPr>
          <w:rFonts w:hint="eastAsia" w:cs="Times New Roman"/>
          <w:color w:val="4A4949"/>
          <w:kern w:val="0"/>
          <w:sz w:val="28"/>
          <w:szCs w:val="28"/>
          <w:lang w:val="en-US" w:eastAsia="zh-CN"/>
        </w:rPr>
        <w:t>本项目变动均为一般变动。</w:t>
      </w:r>
    </w:p>
    <w:p>
      <w:pPr>
        <w:widowControl/>
        <w:spacing w:line="360" w:lineRule="auto"/>
        <w:ind w:firstLine="560" w:firstLineChars="200"/>
        <w:jc w:val="left"/>
        <w:rPr>
          <w:rFonts w:hint="default" w:ascii="Times New Roman" w:hAnsi="Times New Roman" w:eastAsia="宋体" w:cs="Times New Roman"/>
          <w:color w:val="4A4949"/>
          <w:kern w:val="0"/>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hint="default"/>
          <w:sz w:val="28"/>
          <w:szCs w:val="28"/>
        </w:rPr>
      </w:pPr>
      <w:r>
        <w:rPr>
          <w:rFonts w:hint="default"/>
          <w:sz w:val="28"/>
          <w:szCs w:val="28"/>
        </w:rPr>
        <w:t>二、评价要素</w:t>
      </w:r>
    </w:p>
    <w:p>
      <w:pPr>
        <w:widowControl/>
        <w:spacing w:line="360" w:lineRule="auto"/>
        <w:jc w:val="left"/>
        <w:rPr>
          <w:rFonts w:hint="default" w:ascii="Times New Roman" w:hAnsi="Times New Roman" w:eastAsia="宋体" w:cs="Times New Roman"/>
          <w:b/>
          <w:bCs/>
          <w:color w:val="4A4949"/>
          <w:kern w:val="0"/>
          <w:sz w:val="28"/>
          <w:szCs w:val="28"/>
        </w:rPr>
      </w:pPr>
      <w:r>
        <w:rPr>
          <w:rFonts w:hint="default" w:ascii="Times New Roman" w:hAnsi="Times New Roman" w:eastAsia="宋体" w:cs="Times New Roman"/>
          <w:b/>
          <w:bCs/>
          <w:color w:val="4A4949"/>
          <w:kern w:val="0"/>
          <w:sz w:val="28"/>
          <w:szCs w:val="28"/>
        </w:rPr>
        <w:t>1、环境空气影响评价</w:t>
      </w:r>
    </w:p>
    <w:p>
      <w:pPr>
        <w:spacing w:line="360" w:lineRule="auto"/>
        <w:ind w:firstLine="560" w:firstLineChars="200"/>
        <w:rPr>
          <w:rFonts w:hint="default" w:ascii="Times New Roman" w:hAnsi="Times New Roman" w:eastAsia="宋体" w:cs="Times New Roman"/>
          <w:color w:val="4A4949"/>
          <w:kern w:val="0"/>
          <w:sz w:val="28"/>
          <w:szCs w:val="28"/>
        </w:rPr>
      </w:pPr>
      <w:r>
        <w:rPr>
          <w:rFonts w:hint="default" w:ascii="Times New Roman" w:hAnsi="Times New Roman" w:eastAsia="宋体" w:cs="Times New Roman"/>
          <w:color w:val="4A4949"/>
          <w:kern w:val="0"/>
          <w:sz w:val="28"/>
          <w:szCs w:val="28"/>
        </w:rPr>
        <w:t>环评中分析</w:t>
      </w:r>
      <w:r>
        <w:rPr>
          <w:sz w:val="28"/>
          <w:szCs w:val="28"/>
        </w:rPr>
        <w:t>，根据《环境影响评价技术导则 大气环境》(HJ2.2-2018)分级判据，本项目大气环境影响评价工作等级为二级</w:t>
      </w:r>
      <w:r>
        <w:rPr>
          <w:rFonts w:hint="eastAsia"/>
          <w:sz w:val="28"/>
          <w:szCs w:val="28"/>
          <w:lang w:eastAsia="zh-CN"/>
        </w:rPr>
        <w:t>，</w:t>
      </w:r>
      <w:r>
        <w:rPr>
          <w:rFonts w:hint="eastAsia"/>
          <w:sz w:val="28"/>
          <w:szCs w:val="28"/>
          <w:lang w:val="en-US" w:eastAsia="zh-CN"/>
        </w:rPr>
        <w:t>大气污染物</w:t>
      </w:r>
      <w:r>
        <w:rPr>
          <w:sz w:val="28"/>
          <w:szCs w:val="28"/>
        </w:rPr>
        <w:t>对周围大气环境影响较小，不会改变区域环境空气质量等级。</w:t>
      </w:r>
    </w:p>
    <w:p>
      <w:pPr>
        <w:spacing w:line="360" w:lineRule="auto"/>
        <w:ind w:firstLine="560" w:firstLineChars="200"/>
        <w:rPr>
          <w:rFonts w:hint="default" w:ascii="Times New Roman" w:hAnsi="Times New Roman" w:eastAsia="宋体" w:cs="Times New Roman"/>
          <w:color w:val="4A4949"/>
          <w:kern w:val="0"/>
          <w:sz w:val="28"/>
          <w:szCs w:val="28"/>
        </w:rPr>
      </w:pPr>
      <w:r>
        <w:rPr>
          <w:rFonts w:hint="eastAsia" w:cs="Times New Roman"/>
          <w:color w:val="4A4949"/>
          <w:kern w:val="0"/>
          <w:sz w:val="28"/>
          <w:szCs w:val="28"/>
          <w:lang w:val="en-US" w:eastAsia="zh-CN"/>
        </w:rPr>
        <w:t>变动后，</w:t>
      </w:r>
      <w:r>
        <w:rPr>
          <w:sz w:val="28"/>
          <w:szCs w:val="28"/>
        </w:rPr>
        <w:t>根据《环境影响评价技术导则 大气环境》(HJ2.2-2018)分级判据，本项目大气环境影响评价工作等级为二级</w:t>
      </w:r>
      <w:r>
        <w:rPr>
          <w:rFonts w:hint="eastAsia"/>
          <w:sz w:val="28"/>
          <w:szCs w:val="28"/>
          <w:lang w:eastAsia="zh-CN"/>
        </w:rPr>
        <w:t>，</w:t>
      </w:r>
      <w:r>
        <w:rPr>
          <w:rFonts w:hint="eastAsia"/>
          <w:sz w:val="28"/>
          <w:szCs w:val="28"/>
          <w:lang w:val="en-US" w:eastAsia="zh-CN"/>
        </w:rPr>
        <w:t>大气污染物</w:t>
      </w:r>
      <w:r>
        <w:rPr>
          <w:sz w:val="28"/>
          <w:szCs w:val="28"/>
        </w:rPr>
        <w:t>对周围大气环境影响较小，不会改变区域环境空气质量等级。</w:t>
      </w:r>
    </w:p>
    <w:p>
      <w:pPr>
        <w:widowControl/>
        <w:spacing w:line="360" w:lineRule="auto"/>
        <w:jc w:val="left"/>
        <w:rPr>
          <w:rFonts w:hint="default" w:ascii="Times New Roman" w:hAnsi="Times New Roman" w:eastAsia="宋体" w:cs="Times New Roman"/>
          <w:b/>
          <w:bCs/>
          <w:color w:val="4A4949"/>
          <w:kern w:val="0"/>
          <w:sz w:val="28"/>
          <w:szCs w:val="28"/>
        </w:rPr>
      </w:pPr>
      <w:r>
        <w:rPr>
          <w:rFonts w:hint="default" w:ascii="Times New Roman" w:hAnsi="Times New Roman" w:eastAsia="宋体" w:cs="Times New Roman"/>
          <w:b/>
          <w:bCs/>
          <w:color w:val="4A4949"/>
          <w:kern w:val="0"/>
          <w:sz w:val="28"/>
          <w:szCs w:val="28"/>
        </w:rPr>
        <w:t>2、地表水环境影响评价</w:t>
      </w:r>
    </w:p>
    <w:p>
      <w:pPr>
        <w:widowControl/>
        <w:spacing w:line="360" w:lineRule="auto"/>
        <w:ind w:firstLine="560" w:firstLineChars="200"/>
        <w:jc w:val="left"/>
        <w:rPr>
          <w:rFonts w:hint="default" w:ascii="Times New Roman" w:hAnsi="Times New Roman" w:eastAsia="宋体" w:cs="Times New Roman"/>
          <w:color w:val="4A4949"/>
          <w:kern w:val="0"/>
          <w:sz w:val="28"/>
          <w:szCs w:val="28"/>
        </w:rPr>
      </w:pPr>
      <w:r>
        <w:rPr>
          <w:rFonts w:hint="default" w:ascii="Times New Roman" w:hAnsi="Times New Roman" w:eastAsia="宋体" w:cs="Times New Roman"/>
          <w:color w:val="4A4949"/>
          <w:kern w:val="0"/>
          <w:sz w:val="28"/>
          <w:szCs w:val="28"/>
        </w:rPr>
        <w:t>环评分析中，废水经过预处理后接管污水处理厂，属于间接排放，根据《环境影响评价技术导则 地表水环境》（HJ2.3-2018），本项目评价等级为三级B，本项目位于受纳水体环境质量为达标区域。</w:t>
      </w:r>
    </w:p>
    <w:p>
      <w:pPr>
        <w:widowControl/>
        <w:spacing w:line="360" w:lineRule="auto"/>
        <w:ind w:firstLine="560" w:firstLineChars="200"/>
        <w:jc w:val="left"/>
        <w:rPr>
          <w:rFonts w:hint="default" w:ascii="Times New Roman" w:hAnsi="Times New Roman" w:eastAsia="宋体" w:cs="Times New Roman"/>
          <w:color w:val="4A4949"/>
          <w:kern w:val="0"/>
          <w:sz w:val="28"/>
          <w:szCs w:val="28"/>
        </w:rPr>
      </w:pPr>
      <w:r>
        <w:rPr>
          <w:rFonts w:hint="eastAsia" w:cs="Times New Roman"/>
          <w:color w:val="4A4949"/>
          <w:kern w:val="0"/>
          <w:sz w:val="28"/>
          <w:szCs w:val="28"/>
          <w:lang w:val="en-US" w:eastAsia="zh-CN"/>
        </w:rPr>
        <w:t>变动后，</w:t>
      </w:r>
      <w:r>
        <w:rPr>
          <w:rFonts w:hint="default" w:ascii="Times New Roman" w:hAnsi="Times New Roman" w:eastAsia="宋体" w:cs="Times New Roman"/>
          <w:color w:val="4A4949"/>
          <w:kern w:val="0"/>
          <w:sz w:val="28"/>
          <w:szCs w:val="28"/>
        </w:rPr>
        <w:t>废水经过预处理后接管污水处理厂，属于间接排放，根据《环境影响评价技术导则 地表水环境》（HJ2.3-2018），本项目评价等级为三级B，本项目位于受纳水体环境质量为达标区域。</w:t>
      </w:r>
    </w:p>
    <w:p>
      <w:pPr>
        <w:widowControl/>
        <w:spacing w:line="360" w:lineRule="auto"/>
        <w:jc w:val="left"/>
        <w:rPr>
          <w:rFonts w:hint="default" w:ascii="Times New Roman" w:hAnsi="Times New Roman" w:eastAsia="宋体" w:cs="Times New Roman"/>
          <w:b/>
          <w:bCs/>
          <w:color w:val="4A4949"/>
          <w:kern w:val="0"/>
          <w:sz w:val="28"/>
          <w:szCs w:val="28"/>
        </w:rPr>
      </w:pPr>
      <w:r>
        <w:rPr>
          <w:rFonts w:hint="default" w:ascii="Times New Roman" w:hAnsi="Times New Roman" w:eastAsia="宋体" w:cs="Times New Roman"/>
          <w:b/>
          <w:bCs/>
          <w:color w:val="4A4949"/>
          <w:kern w:val="0"/>
          <w:sz w:val="28"/>
          <w:szCs w:val="28"/>
        </w:rPr>
        <w:t>3、声环境影响评价</w:t>
      </w:r>
    </w:p>
    <w:p>
      <w:pPr>
        <w:widowControl/>
        <w:spacing w:line="360" w:lineRule="auto"/>
        <w:ind w:firstLine="560" w:firstLineChars="200"/>
        <w:jc w:val="left"/>
        <w:rPr>
          <w:rFonts w:hint="eastAsia"/>
          <w:sz w:val="28"/>
          <w:szCs w:val="28"/>
          <w:lang w:eastAsia="zh-CN"/>
        </w:rPr>
      </w:pPr>
      <w:r>
        <w:rPr>
          <w:rFonts w:hint="default" w:ascii="Times New Roman" w:hAnsi="Times New Roman" w:eastAsia="宋体" w:cs="Times New Roman"/>
          <w:color w:val="4A4949"/>
          <w:kern w:val="0"/>
          <w:sz w:val="28"/>
          <w:szCs w:val="28"/>
        </w:rPr>
        <w:t>环评分析中，</w:t>
      </w:r>
      <w:r>
        <w:rPr>
          <w:sz w:val="28"/>
          <w:szCs w:val="28"/>
        </w:rPr>
        <w:t>噪声排放对周围环境影响较小</w:t>
      </w:r>
      <w:r>
        <w:rPr>
          <w:rFonts w:hint="eastAsia"/>
          <w:sz w:val="28"/>
          <w:szCs w:val="28"/>
          <w:lang w:eastAsia="zh-CN"/>
        </w:rPr>
        <w:t>。</w:t>
      </w:r>
    </w:p>
    <w:p>
      <w:pPr>
        <w:widowControl/>
        <w:spacing w:line="360" w:lineRule="auto"/>
        <w:ind w:firstLine="560" w:firstLineChars="200"/>
        <w:jc w:val="left"/>
        <w:rPr>
          <w:rFonts w:hint="eastAsia"/>
          <w:sz w:val="28"/>
          <w:szCs w:val="28"/>
          <w:lang w:eastAsia="zh-CN"/>
        </w:rPr>
      </w:pPr>
      <w:r>
        <w:rPr>
          <w:rFonts w:hint="eastAsia"/>
          <w:sz w:val="28"/>
          <w:szCs w:val="28"/>
          <w:lang w:val="en-US" w:eastAsia="zh-CN"/>
        </w:rPr>
        <w:t>变动后，</w:t>
      </w:r>
      <w:r>
        <w:rPr>
          <w:sz w:val="28"/>
          <w:szCs w:val="28"/>
        </w:rPr>
        <w:t>噪声排放对周围环境影响较小</w:t>
      </w:r>
      <w:r>
        <w:rPr>
          <w:rFonts w:hint="eastAsia"/>
          <w:sz w:val="28"/>
          <w:szCs w:val="28"/>
          <w:lang w:eastAsia="zh-CN"/>
        </w:rPr>
        <w:t>。</w:t>
      </w:r>
    </w:p>
    <w:p>
      <w:pPr>
        <w:widowControl/>
        <w:spacing w:line="360" w:lineRule="auto"/>
        <w:jc w:val="left"/>
        <w:rPr>
          <w:rFonts w:hint="default" w:ascii="Times New Roman" w:hAnsi="Times New Roman" w:eastAsia="宋体" w:cs="Times New Roman"/>
          <w:b/>
          <w:bCs/>
          <w:color w:val="4A4949"/>
          <w:kern w:val="0"/>
          <w:sz w:val="28"/>
          <w:szCs w:val="28"/>
        </w:rPr>
      </w:pPr>
      <w:r>
        <w:rPr>
          <w:rFonts w:hint="default" w:ascii="Times New Roman" w:hAnsi="Times New Roman" w:eastAsia="宋体" w:cs="Times New Roman"/>
          <w:b/>
          <w:bCs/>
          <w:color w:val="4A4949"/>
          <w:kern w:val="0"/>
          <w:sz w:val="28"/>
          <w:szCs w:val="28"/>
        </w:rPr>
        <w:t>4、地下水环境影响评价</w:t>
      </w:r>
    </w:p>
    <w:p>
      <w:pPr>
        <w:widowControl/>
        <w:spacing w:line="360" w:lineRule="auto"/>
        <w:ind w:firstLine="560" w:firstLineChars="200"/>
        <w:jc w:val="left"/>
        <w:rPr>
          <w:sz w:val="28"/>
          <w:szCs w:val="28"/>
          <w:vertAlign w:val="baseline"/>
        </w:rPr>
      </w:pPr>
      <w:r>
        <w:rPr>
          <w:rFonts w:hint="default" w:ascii="Times New Roman" w:hAnsi="Times New Roman" w:eastAsia="宋体" w:cs="Times New Roman"/>
          <w:color w:val="4A4949"/>
          <w:kern w:val="0"/>
          <w:sz w:val="28"/>
          <w:szCs w:val="28"/>
        </w:rPr>
        <w:t>环评分析中，</w:t>
      </w:r>
      <w:r>
        <w:rPr>
          <w:sz w:val="28"/>
          <w:szCs w:val="28"/>
          <w:vertAlign w:val="baseline"/>
        </w:rPr>
        <w:t>危险废物对</w:t>
      </w:r>
      <w:r>
        <w:rPr>
          <w:rFonts w:hint="eastAsia"/>
          <w:sz w:val="28"/>
          <w:szCs w:val="28"/>
          <w:vertAlign w:val="baseline"/>
          <w:lang w:val="en-US" w:eastAsia="zh-CN"/>
        </w:rPr>
        <w:t>地下水</w:t>
      </w:r>
      <w:r>
        <w:rPr>
          <w:sz w:val="28"/>
          <w:szCs w:val="28"/>
          <w:vertAlign w:val="baseline"/>
        </w:rPr>
        <w:t>环境影响较小。</w:t>
      </w:r>
    </w:p>
    <w:p>
      <w:pPr>
        <w:widowControl/>
        <w:spacing w:line="360" w:lineRule="auto"/>
        <w:ind w:firstLine="560" w:firstLineChars="200"/>
        <w:jc w:val="left"/>
        <w:rPr>
          <w:rFonts w:hint="eastAsia" w:ascii="Times New Roman" w:hAnsi="Times New Roman" w:eastAsia="宋体" w:cs="Times New Roman"/>
          <w:color w:val="4A4949"/>
          <w:kern w:val="0"/>
          <w:sz w:val="28"/>
          <w:szCs w:val="28"/>
          <w:lang w:eastAsia="zh-CN"/>
        </w:rPr>
      </w:pPr>
      <w:r>
        <w:rPr>
          <w:rFonts w:hint="eastAsia"/>
          <w:sz w:val="28"/>
          <w:szCs w:val="28"/>
          <w:lang w:val="en-US" w:eastAsia="zh-CN"/>
        </w:rPr>
        <w:t>变动后，</w:t>
      </w:r>
      <w:r>
        <w:rPr>
          <w:sz w:val="28"/>
          <w:szCs w:val="28"/>
          <w:vertAlign w:val="baseline"/>
        </w:rPr>
        <w:t>危险废物对</w:t>
      </w:r>
      <w:r>
        <w:rPr>
          <w:rFonts w:hint="eastAsia"/>
          <w:sz w:val="28"/>
          <w:szCs w:val="28"/>
          <w:vertAlign w:val="baseline"/>
          <w:lang w:val="en-US" w:eastAsia="zh-CN"/>
        </w:rPr>
        <w:t>地下水</w:t>
      </w:r>
      <w:r>
        <w:rPr>
          <w:sz w:val="28"/>
          <w:szCs w:val="28"/>
          <w:vertAlign w:val="baseline"/>
        </w:rPr>
        <w:t>环境影响较小。</w:t>
      </w:r>
    </w:p>
    <w:p>
      <w:pPr>
        <w:widowControl/>
        <w:spacing w:line="360" w:lineRule="auto"/>
        <w:jc w:val="left"/>
        <w:rPr>
          <w:rFonts w:hint="default" w:ascii="Times New Roman" w:hAnsi="Times New Roman" w:eastAsia="宋体" w:cs="Times New Roman"/>
          <w:b/>
          <w:bCs/>
          <w:color w:val="4A4949"/>
          <w:kern w:val="0"/>
          <w:sz w:val="28"/>
          <w:szCs w:val="28"/>
        </w:rPr>
      </w:pPr>
      <w:r>
        <w:rPr>
          <w:rFonts w:hint="default" w:ascii="Times New Roman" w:hAnsi="Times New Roman" w:eastAsia="宋体" w:cs="Times New Roman"/>
          <w:b/>
          <w:bCs/>
          <w:color w:val="4A4949"/>
          <w:kern w:val="0"/>
          <w:sz w:val="28"/>
          <w:szCs w:val="28"/>
        </w:rPr>
        <w:t>5、土壤环境影响评价</w:t>
      </w:r>
    </w:p>
    <w:p>
      <w:pPr>
        <w:widowControl/>
        <w:spacing w:line="360" w:lineRule="auto"/>
        <w:ind w:firstLine="560" w:firstLineChars="200"/>
        <w:jc w:val="left"/>
        <w:rPr>
          <w:rFonts w:hint="default" w:ascii="Times New Roman" w:hAnsi="Times New Roman" w:eastAsia="宋体" w:cs="Times New Roman"/>
          <w:color w:val="4A4949"/>
          <w:kern w:val="0"/>
          <w:sz w:val="28"/>
          <w:szCs w:val="28"/>
        </w:rPr>
      </w:pPr>
      <w:r>
        <w:rPr>
          <w:rFonts w:hint="default" w:ascii="Times New Roman" w:hAnsi="Times New Roman" w:eastAsia="宋体" w:cs="Times New Roman"/>
          <w:color w:val="4A4949"/>
          <w:kern w:val="0"/>
          <w:sz w:val="28"/>
          <w:szCs w:val="28"/>
        </w:rPr>
        <w:t>环评分析中，</w:t>
      </w:r>
      <w:r>
        <w:rPr>
          <w:sz w:val="28"/>
          <w:szCs w:val="28"/>
          <w:vertAlign w:val="baseline"/>
        </w:rPr>
        <w:t>危险废物对</w:t>
      </w:r>
      <w:r>
        <w:rPr>
          <w:rFonts w:hint="eastAsia"/>
          <w:sz w:val="28"/>
          <w:szCs w:val="28"/>
          <w:vertAlign w:val="baseline"/>
          <w:lang w:val="en-US" w:eastAsia="zh-CN"/>
        </w:rPr>
        <w:t>土壤</w:t>
      </w:r>
      <w:r>
        <w:rPr>
          <w:sz w:val="28"/>
          <w:szCs w:val="28"/>
          <w:vertAlign w:val="baseline"/>
        </w:rPr>
        <w:t>环境影响较小。</w:t>
      </w:r>
    </w:p>
    <w:p>
      <w:pPr>
        <w:widowControl/>
        <w:spacing w:line="360" w:lineRule="auto"/>
        <w:ind w:firstLine="560" w:firstLineChars="200"/>
        <w:jc w:val="left"/>
        <w:rPr>
          <w:rFonts w:hint="default" w:ascii="Times New Roman" w:hAnsi="Times New Roman" w:eastAsia="宋体" w:cs="Times New Roman"/>
          <w:b/>
          <w:bCs/>
          <w:color w:val="4A4949"/>
          <w:kern w:val="0"/>
          <w:sz w:val="28"/>
          <w:szCs w:val="28"/>
        </w:rPr>
      </w:pPr>
      <w:r>
        <w:rPr>
          <w:rFonts w:hint="eastAsia"/>
          <w:sz w:val="28"/>
          <w:szCs w:val="28"/>
          <w:lang w:val="en-US" w:eastAsia="zh-CN"/>
        </w:rPr>
        <w:t>变动后，</w:t>
      </w:r>
      <w:r>
        <w:rPr>
          <w:sz w:val="28"/>
          <w:szCs w:val="28"/>
          <w:vertAlign w:val="baseline"/>
        </w:rPr>
        <w:t>危险废物对</w:t>
      </w:r>
      <w:r>
        <w:rPr>
          <w:rFonts w:hint="eastAsia"/>
          <w:sz w:val="28"/>
          <w:szCs w:val="28"/>
          <w:vertAlign w:val="baseline"/>
          <w:lang w:val="en-US" w:eastAsia="zh-CN"/>
        </w:rPr>
        <w:t>土壤</w:t>
      </w:r>
      <w:r>
        <w:rPr>
          <w:sz w:val="28"/>
          <w:szCs w:val="28"/>
          <w:vertAlign w:val="baseline"/>
        </w:rPr>
        <w:t>环境影响较小。</w:t>
      </w:r>
    </w:p>
    <w:p>
      <w:pPr>
        <w:widowControl/>
        <w:spacing w:line="360" w:lineRule="auto"/>
        <w:jc w:val="left"/>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5"/>
        <w:keepNext/>
        <w:keepLines/>
        <w:pageBreakBefore w:val="0"/>
        <w:widowControl w:val="0"/>
        <w:kinsoku/>
        <w:wordWrap/>
        <w:overflowPunct/>
        <w:topLinePunct w:val="0"/>
        <w:autoSpaceDE/>
        <w:autoSpaceDN/>
        <w:bidi w:val="0"/>
        <w:adjustRightInd w:val="0"/>
        <w:snapToGrid w:val="0"/>
        <w:spacing w:before="0" w:after="0" w:line="24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三、环境影响分析说明</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b/>
          <w:bCs/>
          <w:color w:val="4A4949"/>
          <w:kern w:val="0"/>
          <w:sz w:val="28"/>
          <w:szCs w:val="28"/>
        </w:rPr>
        <w:t>1、</w:t>
      </w:r>
      <w:r>
        <w:rPr>
          <w:rFonts w:hint="default" w:ascii="Times New Roman" w:hAnsi="Times New Roman" w:eastAsia="宋体" w:cs="Times New Roman"/>
          <w:color w:val="000000"/>
          <w:kern w:val="0"/>
          <w:sz w:val="28"/>
          <w:szCs w:val="28"/>
          <w:lang w:val="en-US" w:eastAsia="zh-CN" w:bidi="ar"/>
        </w:rPr>
        <w:t>变动前后产排污环节变化情况</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lang w:val="en-US" w:eastAsia="zh-CN"/>
        </w:rPr>
      </w:pPr>
      <w:r>
        <w:rPr>
          <w:rFonts w:hint="eastAsia" w:ascii="Times New Roman" w:hAnsi="Times New Roman" w:cs="Times New Roman"/>
          <w:color w:val="000000"/>
          <w:kern w:val="0"/>
          <w:sz w:val="28"/>
          <w:szCs w:val="28"/>
          <w:lang w:val="en-US" w:eastAsia="zh-CN" w:bidi="ar"/>
        </w:rPr>
        <w:t>变动前，</w:t>
      </w:r>
      <w:r>
        <w:rPr>
          <w:rFonts w:hint="eastAsia"/>
          <w:b w:val="0"/>
          <w:bCs/>
          <w:color w:val="000000"/>
          <w:kern w:val="0"/>
          <w:sz w:val="28"/>
          <w:szCs w:val="28"/>
        </w:rPr>
        <w:t>全厂</w:t>
      </w:r>
      <w:r>
        <w:rPr>
          <w:b w:val="0"/>
          <w:bCs/>
          <w:color w:val="000000"/>
          <w:kern w:val="0"/>
          <w:sz w:val="28"/>
          <w:szCs w:val="28"/>
        </w:rPr>
        <w:t>有组织</w:t>
      </w:r>
      <w:r>
        <w:rPr>
          <w:rFonts w:hint="eastAsia"/>
          <w:b w:val="0"/>
          <w:bCs/>
          <w:color w:val="000000"/>
          <w:kern w:val="0"/>
          <w:sz w:val="28"/>
          <w:szCs w:val="28"/>
        </w:rPr>
        <w:t>废气</w:t>
      </w:r>
      <w:r>
        <w:rPr>
          <w:b w:val="0"/>
          <w:bCs/>
          <w:color w:val="000000"/>
          <w:kern w:val="0"/>
          <w:sz w:val="28"/>
          <w:szCs w:val="28"/>
        </w:rPr>
        <w:t>污染物产生及排放状况</w:t>
      </w:r>
      <w:r>
        <w:rPr>
          <w:rFonts w:hint="eastAsia"/>
          <w:b w:val="0"/>
          <w:bCs/>
          <w:color w:val="000000"/>
          <w:kern w:val="0"/>
          <w:sz w:val="28"/>
          <w:szCs w:val="28"/>
          <w:lang w:val="en-US" w:eastAsia="zh-CN"/>
        </w:rPr>
        <w:t>见表7、颗粒物、VOCs合计见表8。</w:t>
      </w:r>
    </w:p>
    <w:p>
      <w:pPr>
        <w:tabs>
          <w:tab w:val="left" w:pos="2256"/>
        </w:tabs>
        <w:bidi w:val="0"/>
        <w:jc w:val="center"/>
        <w:rPr>
          <w:b/>
          <w:bCs w:val="0"/>
          <w:color w:val="000000"/>
          <w:kern w:val="0"/>
          <w:sz w:val="28"/>
          <w:szCs w:val="28"/>
        </w:rPr>
      </w:pPr>
      <w:r>
        <w:rPr>
          <w:rFonts w:hint="eastAsia"/>
          <w:b/>
          <w:bCs w:val="0"/>
          <w:color w:val="000000"/>
          <w:kern w:val="0"/>
          <w:sz w:val="28"/>
          <w:szCs w:val="28"/>
          <w:lang w:val="en-US" w:eastAsia="zh-CN"/>
        </w:rPr>
        <w:t>表7变动前</w:t>
      </w:r>
      <w:r>
        <w:rPr>
          <w:rFonts w:hint="eastAsia"/>
          <w:b/>
          <w:bCs w:val="0"/>
          <w:color w:val="000000"/>
          <w:kern w:val="0"/>
          <w:sz w:val="28"/>
          <w:szCs w:val="28"/>
        </w:rPr>
        <w:t>全厂</w:t>
      </w:r>
      <w:r>
        <w:rPr>
          <w:b/>
          <w:bCs w:val="0"/>
          <w:color w:val="000000"/>
          <w:kern w:val="0"/>
          <w:sz w:val="28"/>
          <w:szCs w:val="28"/>
        </w:rPr>
        <w:t>有组织</w:t>
      </w:r>
      <w:r>
        <w:rPr>
          <w:rFonts w:hint="eastAsia"/>
          <w:b/>
          <w:bCs w:val="0"/>
          <w:color w:val="000000"/>
          <w:kern w:val="0"/>
          <w:sz w:val="28"/>
          <w:szCs w:val="28"/>
        </w:rPr>
        <w:t>废气</w:t>
      </w:r>
      <w:r>
        <w:rPr>
          <w:b/>
          <w:bCs w:val="0"/>
          <w:color w:val="000000"/>
          <w:kern w:val="0"/>
          <w:sz w:val="28"/>
          <w:szCs w:val="28"/>
        </w:rPr>
        <w:t>污染物产生及排放状况</w:t>
      </w:r>
    </w:p>
    <w:tbl>
      <w:tblPr>
        <w:tblStyle w:val="14"/>
        <w:tblW w:w="80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601"/>
        <w:gridCol w:w="619"/>
        <w:gridCol w:w="577"/>
        <w:gridCol w:w="746"/>
        <w:gridCol w:w="847"/>
        <w:gridCol w:w="657"/>
        <w:gridCol w:w="564"/>
        <w:gridCol w:w="438"/>
        <w:gridCol w:w="797"/>
        <w:gridCol w:w="644"/>
        <w:gridCol w:w="872"/>
        <w:gridCol w:w="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601"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污染源</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名称</w:t>
            </w:r>
          </w:p>
        </w:tc>
        <w:tc>
          <w:tcPr>
            <w:tcW w:w="619"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风量</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/h)</w:t>
            </w:r>
          </w:p>
        </w:tc>
        <w:tc>
          <w:tcPr>
            <w:tcW w:w="577"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名称</w:t>
            </w:r>
          </w:p>
        </w:tc>
        <w:tc>
          <w:tcPr>
            <w:tcW w:w="2250" w:type="dxa"/>
            <w:gridSpan w:val="3"/>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产生状况</w:t>
            </w:r>
          </w:p>
        </w:tc>
        <w:tc>
          <w:tcPr>
            <w:tcW w:w="564"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治理</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措施</w:t>
            </w:r>
          </w:p>
        </w:tc>
        <w:tc>
          <w:tcPr>
            <w:tcW w:w="438"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去除率</w:t>
            </w:r>
          </w:p>
        </w:tc>
        <w:tc>
          <w:tcPr>
            <w:tcW w:w="2313" w:type="dxa"/>
            <w:gridSpan w:val="3"/>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排放状况</w:t>
            </w:r>
          </w:p>
        </w:tc>
        <w:tc>
          <w:tcPr>
            <w:tcW w:w="718"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601"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619"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577"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746"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浓度</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(mg/m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w:t>
            </w:r>
          </w:p>
        </w:tc>
        <w:tc>
          <w:tcPr>
            <w:tcW w:w="847"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速率</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(kg/h)</w:t>
            </w:r>
          </w:p>
        </w:tc>
        <w:tc>
          <w:tcPr>
            <w:tcW w:w="657"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产生量(t/a)</w:t>
            </w:r>
          </w:p>
        </w:tc>
        <w:tc>
          <w:tcPr>
            <w:tcW w:w="564"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438"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797"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浓度(mg/m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w:t>
            </w:r>
          </w:p>
        </w:tc>
        <w:tc>
          <w:tcPr>
            <w:tcW w:w="644"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速率</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(kg/h)</w:t>
            </w:r>
          </w:p>
        </w:tc>
        <w:tc>
          <w:tcPr>
            <w:tcW w:w="872"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排放量(t/a)</w:t>
            </w:r>
          </w:p>
        </w:tc>
        <w:tc>
          <w:tcPr>
            <w:tcW w:w="718" w:type="dxa"/>
            <w:vMerge w:val="continue"/>
            <w:vAlign w:val="center"/>
          </w:tcPr>
          <w:p>
            <w:pPr>
              <w:pStyle w:val="26"/>
              <w:spacing w:line="240" w:lineRule="atLeast"/>
              <w:rPr>
                <w:rFonts w:hint="default" w:ascii="Times New Roman" w:hAnsi="Times New Roman" w:eastAsia="宋体" w:cs="Times New Roman"/>
                <w:b/>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抛丸</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抛丸粉尘</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240.6</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2.406</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4.475</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布袋除尘器</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99%</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0.024</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0.045</w:t>
            </w:r>
          </w:p>
        </w:tc>
        <w:tc>
          <w:tcPr>
            <w:tcW w:w="71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1#15m排气筒排放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喷塑</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喷塑粉尘</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653.61</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2.353</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1.294</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滤芯</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99%</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6.53</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0.024</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0.013</w:t>
            </w:r>
          </w:p>
        </w:tc>
        <w:tc>
          <w:tcPr>
            <w:tcW w:w="718" w:type="dxa"/>
            <w:vMerge w:val="restart"/>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2#15m排气筒排放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固化</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非甲烷总烃</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51.67</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0.031</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0.0218</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UV光氧催化+活性炭</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80%</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10.33</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0.006</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0.0044</w:t>
            </w:r>
          </w:p>
        </w:tc>
        <w:tc>
          <w:tcPr>
            <w:tcW w:w="718" w:type="dxa"/>
            <w:vMerge w:val="continue"/>
            <w:vAlign w:val="center"/>
          </w:tcPr>
          <w:p>
            <w:pPr>
              <w:pStyle w:val="26"/>
              <w:spacing w:line="240" w:lineRule="atLeast"/>
              <w:rPr>
                <w:rFonts w:hint="default" w:ascii="Times New Roman" w:hAnsi="Times New Roman" w:eastAsia="宋体"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340"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浇注、烘干</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非甲烷总烃</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43.5</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0.174</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0.162</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UV光氧催化+活性炭</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80%</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8.7</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0.034</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0.032</w:t>
            </w:r>
          </w:p>
        </w:tc>
        <w:tc>
          <w:tcPr>
            <w:tcW w:w="71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3#15m排气筒排放</w:t>
            </w:r>
          </w:p>
        </w:tc>
      </w:tr>
    </w:tbl>
    <w:p>
      <w:pPr>
        <w:pStyle w:val="11"/>
        <w:spacing w:after="0"/>
        <w:jc w:val="center"/>
        <w:rPr>
          <w:rFonts w:ascii="Times New Roman" w:hAnsi="Times New Roman" w:eastAsia="宋体"/>
          <w:sz w:val="28"/>
          <w:szCs w:val="28"/>
        </w:rPr>
      </w:pPr>
      <w:r>
        <w:rPr>
          <w:rFonts w:ascii="Times New Roman" w:hAnsi="Times New Roman" w:eastAsia="宋体"/>
          <w:b/>
          <w:sz w:val="28"/>
          <w:szCs w:val="28"/>
        </w:rPr>
        <w:t>表</w:t>
      </w:r>
      <w:r>
        <w:rPr>
          <w:rFonts w:hint="eastAsia"/>
          <w:b/>
          <w:sz w:val="28"/>
          <w:szCs w:val="28"/>
          <w:lang w:val="en-US" w:eastAsia="zh-CN"/>
        </w:rPr>
        <w:t>8</w:t>
      </w:r>
      <w:r>
        <w:rPr>
          <w:rFonts w:ascii="Times New Roman" w:hAnsi="Times New Roman" w:eastAsia="宋体"/>
          <w:b/>
          <w:sz w:val="28"/>
          <w:szCs w:val="28"/>
        </w:rPr>
        <w:tab/>
      </w:r>
      <w:r>
        <w:rPr>
          <w:rFonts w:hint="eastAsia"/>
          <w:b/>
          <w:sz w:val="28"/>
          <w:szCs w:val="28"/>
          <w:lang w:val="en-US" w:eastAsia="zh-CN"/>
        </w:rPr>
        <w:t>变动前有组织废气总量合计表</w:t>
      </w:r>
      <w:r>
        <w:rPr>
          <w:rFonts w:ascii="Times New Roman" w:hAnsi="Times New Roman" w:eastAsia="宋体"/>
          <w:b/>
          <w:sz w:val="28"/>
          <w:szCs w:val="28"/>
        </w:rPr>
        <w:t>（单位 t/a）</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2557"/>
        <w:gridCol w:w="2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56" w:type="dxa"/>
            <w:noWrap w:val="0"/>
            <w:vAlign w:val="center"/>
          </w:tcPr>
          <w:p>
            <w:pPr>
              <w:pStyle w:val="11"/>
              <w:widowControl w:val="0"/>
              <w:spacing w:after="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污染物种类</w:t>
            </w:r>
          </w:p>
        </w:tc>
        <w:tc>
          <w:tcPr>
            <w:tcW w:w="2557" w:type="dxa"/>
            <w:noWrap w:val="0"/>
            <w:vAlign w:val="center"/>
          </w:tcPr>
          <w:p>
            <w:pPr>
              <w:pStyle w:val="11"/>
              <w:widowControl w:val="0"/>
              <w:spacing w:after="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污染物名称</w:t>
            </w:r>
          </w:p>
        </w:tc>
        <w:tc>
          <w:tcPr>
            <w:tcW w:w="2557" w:type="dxa"/>
            <w:noWrap w:val="0"/>
            <w:vAlign w:val="center"/>
          </w:tcPr>
          <w:p>
            <w:pPr>
              <w:pStyle w:val="11"/>
              <w:widowControl w:val="0"/>
              <w:spacing w:after="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环评总量控制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6" w:type="dxa"/>
            <w:vMerge w:val="restart"/>
            <w:noWrap w:val="0"/>
            <w:vAlign w:val="center"/>
          </w:tcPr>
          <w:p>
            <w:pPr>
              <w:pStyle w:val="11"/>
              <w:widowControl w:val="0"/>
              <w:spacing w:after="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大气污染物（有组织）</w:t>
            </w: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颗粒物</w:t>
            </w: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6" w:type="dxa"/>
            <w:vMerge w:val="continue"/>
            <w:noWrap w:val="0"/>
            <w:vAlign w:val="center"/>
          </w:tcPr>
          <w:p>
            <w:pPr>
              <w:pStyle w:val="11"/>
              <w:widowControl w:val="0"/>
              <w:spacing w:after="0"/>
              <w:jc w:val="center"/>
              <w:rPr>
                <w:rFonts w:hint="default" w:ascii="Times New Roman" w:hAnsi="Times New Roman" w:eastAsia="宋体" w:cs="Times New Roman"/>
                <w:sz w:val="24"/>
                <w:szCs w:val="24"/>
              </w:rPr>
            </w:pP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VOCs</w:t>
            </w: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0.0364</w:t>
            </w:r>
          </w:p>
        </w:tc>
      </w:tr>
    </w:tbl>
    <w:p>
      <w:pPr>
        <w:pStyle w:val="4"/>
        <w:rPr>
          <w:rFonts w:hint="default"/>
          <w:b w:val="0"/>
          <w:bCs/>
          <w:color w:val="000000"/>
          <w:kern w:val="0"/>
          <w:sz w:val="28"/>
          <w:szCs w:val="28"/>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left"/>
        <w:textAlignment w:val="auto"/>
        <w:rPr>
          <w:rFonts w:hint="eastAsia" w:ascii="Times New Roman" w:hAnsi="Times New Roman" w:eastAsia="宋体"/>
          <w:sz w:val="28"/>
          <w:szCs w:val="28"/>
          <w:lang w:val="en-US" w:eastAsia="zh-CN"/>
        </w:rPr>
      </w:pPr>
      <w:r>
        <w:rPr>
          <w:rFonts w:hint="eastAsia" w:ascii="Times New Roman" w:hAnsi="Times New Roman" w:cs="Times New Roman"/>
          <w:color w:val="000000"/>
          <w:kern w:val="0"/>
          <w:sz w:val="28"/>
          <w:szCs w:val="28"/>
          <w:lang w:val="en-US" w:eastAsia="zh-CN" w:bidi="ar"/>
        </w:rPr>
        <w:t>变动</w:t>
      </w:r>
      <w:r>
        <w:rPr>
          <w:rFonts w:hint="eastAsia" w:cs="Times New Roman"/>
          <w:color w:val="000000"/>
          <w:kern w:val="0"/>
          <w:sz w:val="28"/>
          <w:szCs w:val="28"/>
          <w:lang w:val="en-US" w:eastAsia="zh-CN" w:bidi="ar"/>
        </w:rPr>
        <w:t>后</w:t>
      </w:r>
      <w:r>
        <w:rPr>
          <w:rFonts w:hint="eastAsia" w:ascii="Times New Roman" w:hAnsi="Times New Roman" w:cs="Times New Roman"/>
          <w:color w:val="000000"/>
          <w:kern w:val="0"/>
          <w:sz w:val="28"/>
          <w:szCs w:val="28"/>
          <w:lang w:val="en-US" w:eastAsia="zh-CN" w:bidi="ar"/>
        </w:rPr>
        <w:t>，</w:t>
      </w:r>
      <w:r>
        <w:rPr>
          <w:rFonts w:hint="eastAsia"/>
          <w:b w:val="0"/>
          <w:bCs/>
          <w:color w:val="000000"/>
          <w:kern w:val="0"/>
          <w:sz w:val="28"/>
          <w:szCs w:val="28"/>
        </w:rPr>
        <w:t>全厂</w:t>
      </w:r>
      <w:r>
        <w:rPr>
          <w:b w:val="0"/>
          <w:bCs/>
          <w:color w:val="000000"/>
          <w:kern w:val="0"/>
          <w:sz w:val="28"/>
          <w:szCs w:val="28"/>
        </w:rPr>
        <w:t>有组织</w:t>
      </w:r>
      <w:r>
        <w:rPr>
          <w:rFonts w:hint="eastAsia"/>
          <w:b w:val="0"/>
          <w:bCs/>
          <w:color w:val="000000"/>
          <w:kern w:val="0"/>
          <w:sz w:val="28"/>
          <w:szCs w:val="28"/>
        </w:rPr>
        <w:t>废气</w:t>
      </w:r>
      <w:r>
        <w:rPr>
          <w:b w:val="0"/>
          <w:bCs/>
          <w:color w:val="000000"/>
          <w:kern w:val="0"/>
          <w:sz w:val="28"/>
          <w:szCs w:val="28"/>
        </w:rPr>
        <w:t>污染物产生及排放状况</w:t>
      </w:r>
      <w:r>
        <w:rPr>
          <w:rFonts w:hint="eastAsia"/>
          <w:b w:val="0"/>
          <w:bCs/>
          <w:color w:val="000000"/>
          <w:kern w:val="0"/>
          <w:sz w:val="28"/>
          <w:szCs w:val="28"/>
          <w:lang w:val="en-US" w:eastAsia="zh-CN"/>
        </w:rPr>
        <w:t>见表9、颗粒物、VOCs合计见表10</w:t>
      </w:r>
      <w:r>
        <w:rPr>
          <w:rFonts w:hint="eastAsia" w:ascii="Times New Roman" w:hAnsi="Times New Roman" w:eastAsia="宋体"/>
          <w:sz w:val="28"/>
          <w:szCs w:val="28"/>
          <w:lang w:val="en-US"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center"/>
        <w:textAlignment w:val="auto"/>
        <w:rPr>
          <w:rFonts w:hint="eastAsia"/>
          <w:b/>
          <w:bCs w:val="0"/>
          <w:color w:val="000000"/>
          <w:kern w:val="0"/>
          <w:sz w:val="28"/>
          <w:szCs w:val="28"/>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center"/>
        <w:textAlignment w:val="auto"/>
        <w:rPr>
          <w:rFonts w:hint="eastAsia"/>
          <w:b/>
          <w:bCs w:val="0"/>
          <w:color w:val="000000"/>
          <w:kern w:val="0"/>
          <w:sz w:val="28"/>
          <w:szCs w:val="28"/>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jc w:val="center"/>
        <w:textAlignment w:val="auto"/>
        <w:rPr>
          <w:b/>
          <w:bCs w:val="0"/>
          <w:color w:val="000000"/>
          <w:kern w:val="0"/>
          <w:sz w:val="28"/>
          <w:szCs w:val="28"/>
        </w:rPr>
      </w:pPr>
      <w:r>
        <w:rPr>
          <w:rFonts w:hint="eastAsia"/>
          <w:b/>
          <w:bCs w:val="0"/>
          <w:color w:val="000000"/>
          <w:kern w:val="0"/>
          <w:sz w:val="28"/>
          <w:szCs w:val="28"/>
          <w:lang w:val="en-US" w:eastAsia="zh-CN"/>
        </w:rPr>
        <w:t>表9变动后</w:t>
      </w:r>
      <w:r>
        <w:rPr>
          <w:rFonts w:hint="eastAsia"/>
          <w:b/>
          <w:bCs w:val="0"/>
          <w:color w:val="000000"/>
          <w:kern w:val="0"/>
          <w:sz w:val="28"/>
          <w:szCs w:val="28"/>
        </w:rPr>
        <w:t>全厂</w:t>
      </w:r>
      <w:r>
        <w:rPr>
          <w:b/>
          <w:bCs w:val="0"/>
          <w:color w:val="000000"/>
          <w:kern w:val="0"/>
          <w:sz w:val="28"/>
          <w:szCs w:val="28"/>
        </w:rPr>
        <w:t>有组织</w:t>
      </w:r>
      <w:r>
        <w:rPr>
          <w:rFonts w:hint="eastAsia"/>
          <w:b/>
          <w:bCs w:val="0"/>
          <w:color w:val="000000"/>
          <w:kern w:val="0"/>
          <w:sz w:val="28"/>
          <w:szCs w:val="28"/>
        </w:rPr>
        <w:t>废气</w:t>
      </w:r>
      <w:r>
        <w:rPr>
          <w:b/>
          <w:bCs w:val="0"/>
          <w:color w:val="000000"/>
          <w:kern w:val="0"/>
          <w:sz w:val="28"/>
          <w:szCs w:val="28"/>
        </w:rPr>
        <w:t>污染物产生及排放状况</w:t>
      </w:r>
    </w:p>
    <w:tbl>
      <w:tblPr>
        <w:tblStyle w:val="14"/>
        <w:tblW w:w="808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1" w:type="dxa"/>
          <w:bottom w:w="0" w:type="dxa"/>
          <w:right w:w="11" w:type="dxa"/>
        </w:tblCellMar>
      </w:tblPr>
      <w:tblGrid>
        <w:gridCol w:w="601"/>
        <w:gridCol w:w="619"/>
        <w:gridCol w:w="577"/>
        <w:gridCol w:w="746"/>
        <w:gridCol w:w="847"/>
        <w:gridCol w:w="657"/>
        <w:gridCol w:w="564"/>
        <w:gridCol w:w="438"/>
        <w:gridCol w:w="797"/>
        <w:gridCol w:w="644"/>
        <w:gridCol w:w="872"/>
        <w:gridCol w:w="7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601"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污染源</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名称</w:t>
            </w:r>
          </w:p>
        </w:tc>
        <w:tc>
          <w:tcPr>
            <w:tcW w:w="619"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风量</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/h)</w:t>
            </w:r>
          </w:p>
        </w:tc>
        <w:tc>
          <w:tcPr>
            <w:tcW w:w="577"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名称</w:t>
            </w:r>
          </w:p>
        </w:tc>
        <w:tc>
          <w:tcPr>
            <w:tcW w:w="2250" w:type="dxa"/>
            <w:gridSpan w:val="3"/>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产生状况</w:t>
            </w:r>
          </w:p>
        </w:tc>
        <w:tc>
          <w:tcPr>
            <w:tcW w:w="564"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治理</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措施</w:t>
            </w:r>
          </w:p>
        </w:tc>
        <w:tc>
          <w:tcPr>
            <w:tcW w:w="438"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去除率</w:t>
            </w:r>
          </w:p>
        </w:tc>
        <w:tc>
          <w:tcPr>
            <w:tcW w:w="2313" w:type="dxa"/>
            <w:gridSpan w:val="3"/>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排放状况</w:t>
            </w:r>
          </w:p>
        </w:tc>
        <w:tc>
          <w:tcPr>
            <w:tcW w:w="718" w:type="dxa"/>
            <w:vMerge w:val="restart"/>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601"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619"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577"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746"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浓度</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(mg/m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w:t>
            </w:r>
          </w:p>
        </w:tc>
        <w:tc>
          <w:tcPr>
            <w:tcW w:w="847"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速率</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(kg/h)</w:t>
            </w:r>
          </w:p>
        </w:tc>
        <w:tc>
          <w:tcPr>
            <w:tcW w:w="657"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产生量(t/a)</w:t>
            </w:r>
          </w:p>
        </w:tc>
        <w:tc>
          <w:tcPr>
            <w:tcW w:w="564"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438" w:type="dxa"/>
            <w:vMerge w:val="continue"/>
            <w:vAlign w:val="center"/>
          </w:tcPr>
          <w:p>
            <w:pPr>
              <w:pStyle w:val="26"/>
              <w:spacing w:line="240" w:lineRule="atLeast"/>
              <w:rPr>
                <w:rFonts w:hint="default" w:ascii="Times New Roman" w:hAnsi="Times New Roman" w:eastAsia="宋体" w:cs="Times New Roman"/>
                <w:b/>
                <w:sz w:val="24"/>
                <w:szCs w:val="24"/>
              </w:rPr>
            </w:pPr>
          </w:p>
        </w:tc>
        <w:tc>
          <w:tcPr>
            <w:tcW w:w="797"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浓度(mg/m</w:t>
            </w:r>
            <w:r>
              <w:rPr>
                <w:rFonts w:hint="default" w:ascii="Times New Roman" w:hAnsi="Times New Roman" w:eastAsia="宋体" w:cs="Times New Roman"/>
                <w:b/>
                <w:sz w:val="24"/>
                <w:szCs w:val="24"/>
                <w:vertAlign w:val="superscript"/>
              </w:rPr>
              <w:t>3</w:t>
            </w:r>
            <w:r>
              <w:rPr>
                <w:rFonts w:hint="default" w:ascii="Times New Roman" w:hAnsi="Times New Roman" w:eastAsia="宋体" w:cs="Times New Roman"/>
                <w:b/>
                <w:sz w:val="24"/>
                <w:szCs w:val="24"/>
              </w:rPr>
              <w:t>)</w:t>
            </w:r>
          </w:p>
        </w:tc>
        <w:tc>
          <w:tcPr>
            <w:tcW w:w="644"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速率</w:t>
            </w:r>
          </w:p>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(kg/h)</w:t>
            </w:r>
          </w:p>
        </w:tc>
        <w:tc>
          <w:tcPr>
            <w:tcW w:w="872" w:type="dxa"/>
            <w:vAlign w:val="center"/>
          </w:tcPr>
          <w:p>
            <w:pPr>
              <w:pStyle w:val="26"/>
              <w:spacing w:line="240" w:lineRule="atLeas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排放量(t/a)</w:t>
            </w:r>
          </w:p>
        </w:tc>
        <w:tc>
          <w:tcPr>
            <w:tcW w:w="718" w:type="dxa"/>
            <w:vMerge w:val="continue"/>
            <w:vAlign w:val="center"/>
          </w:tcPr>
          <w:p>
            <w:pPr>
              <w:pStyle w:val="26"/>
              <w:spacing w:line="240" w:lineRule="atLeast"/>
              <w:rPr>
                <w:rFonts w:hint="default" w:ascii="Times New Roman" w:hAnsi="Times New Roman" w:eastAsia="宋体" w:cs="Times New Roman"/>
                <w:b/>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54"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抛丸</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抛丸粉尘</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240.6</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2.406</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4.475</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布袋除尘器</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99%</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0.024</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0.045</w:t>
            </w:r>
          </w:p>
        </w:tc>
        <w:tc>
          <w:tcPr>
            <w:tcW w:w="71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1#15m排气筒排放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54"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喷塑</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喷塑粉尘</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653.61</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2.353</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1.294</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旋风+</w:t>
            </w:r>
            <w:r>
              <w:rPr>
                <w:rFonts w:hint="default" w:ascii="Times New Roman" w:hAnsi="Times New Roman" w:eastAsia="宋体" w:cs="Times New Roman"/>
                <w:sz w:val="24"/>
                <w:szCs w:val="24"/>
              </w:rPr>
              <w:t>滤芯</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99%</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6.53</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0.024</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0.013</w:t>
            </w:r>
          </w:p>
        </w:tc>
        <w:tc>
          <w:tcPr>
            <w:tcW w:w="71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2#15m排气筒排放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1" w:type="dxa"/>
            <w:bottom w:w="0" w:type="dxa"/>
            <w:right w:w="11" w:type="dxa"/>
          </w:tblCellMar>
        </w:tblPrEx>
        <w:trPr>
          <w:trHeight w:val="454"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固化</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非甲烷总烃</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51.67</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0.031</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0.0218</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活性炭</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80%</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10.33</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0.006</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0.0044</w:t>
            </w:r>
          </w:p>
        </w:tc>
        <w:tc>
          <w:tcPr>
            <w:tcW w:w="71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3#15m排气筒排放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601"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浇注、烘干</w:t>
            </w:r>
          </w:p>
        </w:tc>
        <w:tc>
          <w:tcPr>
            <w:tcW w:w="619"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4000</w:t>
            </w:r>
          </w:p>
        </w:tc>
        <w:tc>
          <w:tcPr>
            <w:tcW w:w="57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非甲烷总烃</w:t>
            </w:r>
          </w:p>
        </w:tc>
        <w:tc>
          <w:tcPr>
            <w:tcW w:w="746"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43.5</w:t>
            </w:r>
          </w:p>
        </w:tc>
        <w:tc>
          <w:tcPr>
            <w:tcW w:w="84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0.174</w:t>
            </w:r>
          </w:p>
        </w:tc>
        <w:tc>
          <w:tcPr>
            <w:tcW w:w="65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0.162</w:t>
            </w:r>
          </w:p>
        </w:tc>
        <w:tc>
          <w:tcPr>
            <w:tcW w:w="564" w:type="dxa"/>
            <w:vAlign w:val="center"/>
          </w:tcPr>
          <w:p>
            <w:pPr>
              <w:pStyle w:val="26"/>
              <w:spacing w:line="240" w:lineRule="atLeas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二级</w:t>
            </w:r>
            <w:r>
              <w:rPr>
                <w:rFonts w:hint="default" w:ascii="Times New Roman" w:hAnsi="Times New Roman" w:eastAsia="宋体" w:cs="Times New Roman"/>
                <w:sz w:val="24"/>
                <w:szCs w:val="24"/>
              </w:rPr>
              <w:t>活性炭</w:t>
            </w:r>
          </w:p>
        </w:tc>
        <w:tc>
          <w:tcPr>
            <w:tcW w:w="438" w:type="dxa"/>
            <w:vAlign w:val="center"/>
          </w:tcPr>
          <w:p>
            <w:pPr>
              <w:pStyle w:val="26"/>
              <w:spacing w:line="240" w:lineRule="atLeas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80%</w:t>
            </w:r>
          </w:p>
        </w:tc>
        <w:tc>
          <w:tcPr>
            <w:tcW w:w="797"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8.7</w:t>
            </w:r>
          </w:p>
        </w:tc>
        <w:tc>
          <w:tcPr>
            <w:tcW w:w="644"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0.034</w:t>
            </w:r>
          </w:p>
        </w:tc>
        <w:tc>
          <w:tcPr>
            <w:tcW w:w="872" w:type="dxa"/>
            <w:vAlign w:val="center"/>
          </w:tcPr>
          <w:p>
            <w:pPr>
              <w:pStyle w:val="2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0.032</w:t>
            </w:r>
          </w:p>
        </w:tc>
        <w:tc>
          <w:tcPr>
            <w:tcW w:w="718" w:type="dxa"/>
            <w:vAlign w:val="center"/>
          </w:tcPr>
          <w:p>
            <w:pPr>
              <w:pStyle w:val="26"/>
              <w:spacing w:line="240" w:lineRule="atLeast"/>
              <w:rPr>
                <w:rFonts w:hint="default" w:ascii="Times New Roman" w:hAnsi="Times New Roman" w:eastAsia="宋体" w:cs="Times New Roman"/>
                <w:sz w:val="24"/>
                <w:szCs w:val="24"/>
              </w:rPr>
            </w:pPr>
            <w:r>
              <w:rPr>
                <w:rFonts w:hint="eastAsia" w:hAnsi="Times New Roman" w:eastAsia="宋体" w:cs="Times New Roman"/>
                <w:sz w:val="24"/>
                <w:szCs w:val="24"/>
                <w:lang w:val="en-US" w:eastAsia="zh-CN"/>
              </w:rPr>
              <w:t>4</w:t>
            </w:r>
            <w:r>
              <w:rPr>
                <w:rFonts w:hint="default" w:ascii="Times New Roman" w:hAnsi="Times New Roman" w:eastAsia="宋体" w:cs="Times New Roman"/>
                <w:sz w:val="24"/>
                <w:szCs w:val="24"/>
              </w:rPr>
              <w:t>#15m排气筒排放</w:t>
            </w:r>
          </w:p>
        </w:tc>
      </w:tr>
    </w:tbl>
    <w:p>
      <w:pPr>
        <w:rPr>
          <w:rFonts w:hint="eastAsia"/>
          <w:lang w:val="en-US" w:eastAsia="zh-CN"/>
        </w:rPr>
      </w:pPr>
    </w:p>
    <w:p>
      <w:pPr>
        <w:pStyle w:val="11"/>
        <w:spacing w:after="0"/>
        <w:jc w:val="center"/>
        <w:rPr>
          <w:rFonts w:ascii="Times New Roman" w:hAnsi="Times New Roman" w:eastAsia="宋体"/>
          <w:sz w:val="28"/>
          <w:szCs w:val="28"/>
        </w:rPr>
      </w:pPr>
      <w:r>
        <w:rPr>
          <w:rFonts w:ascii="Times New Roman" w:hAnsi="Times New Roman" w:eastAsia="宋体"/>
          <w:b/>
          <w:sz w:val="28"/>
          <w:szCs w:val="28"/>
        </w:rPr>
        <w:t>表</w:t>
      </w:r>
      <w:r>
        <w:rPr>
          <w:rFonts w:hint="eastAsia"/>
          <w:b/>
          <w:sz w:val="28"/>
          <w:szCs w:val="28"/>
          <w:lang w:val="en-US" w:eastAsia="zh-CN"/>
        </w:rPr>
        <w:t>10</w:t>
      </w:r>
      <w:r>
        <w:rPr>
          <w:rFonts w:ascii="Times New Roman" w:hAnsi="Times New Roman" w:eastAsia="宋体"/>
          <w:b/>
          <w:sz w:val="28"/>
          <w:szCs w:val="28"/>
        </w:rPr>
        <w:tab/>
      </w:r>
      <w:r>
        <w:rPr>
          <w:rFonts w:hint="eastAsia"/>
          <w:b/>
          <w:sz w:val="28"/>
          <w:szCs w:val="28"/>
          <w:lang w:val="en-US" w:eastAsia="zh-CN"/>
        </w:rPr>
        <w:t>变动前有组织废气总量合计表</w:t>
      </w:r>
      <w:r>
        <w:rPr>
          <w:rFonts w:ascii="Times New Roman" w:hAnsi="Times New Roman" w:eastAsia="宋体"/>
          <w:b/>
          <w:sz w:val="28"/>
          <w:szCs w:val="28"/>
        </w:rPr>
        <w:t>（单位 t/a）</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2557"/>
        <w:gridCol w:w="2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56" w:type="dxa"/>
            <w:noWrap w:val="0"/>
            <w:vAlign w:val="center"/>
          </w:tcPr>
          <w:p>
            <w:pPr>
              <w:pStyle w:val="11"/>
              <w:widowControl w:val="0"/>
              <w:spacing w:after="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污染物种类</w:t>
            </w:r>
          </w:p>
        </w:tc>
        <w:tc>
          <w:tcPr>
            <w:tcW w:w="2557" w:type="dxa"/>
            <w:noWrap w:val="0"/>
            <w:vAlign w:val="center"/>
          </w:tcPr>
          <w:p>
            <w:pPr>
              <w:pStyle w:val="11"/>
              <w:widowControl w:val="0"/>
              <w:spacing w:after="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污染物名称</w:t>
            </w:r>
          </w:p>
        </w:tc>
        <w:tc>
          <w:tcPr>
            <w:tcW w:w="2557" w:type="dxa"/>
            <w:noWrap w:val="0"/>
            <w:vAlign w:val="center"/>
          </w:tcPr>
          <w:p>
            <w:pPr>
              <w:pStyle w:val="11"/>
              <w:widowControl w:val="0"/>
              <w:spacing w:after="0"/>
              <w:jc w:val="center"/>
              <w:rPr>
                <w:rFonts w:hint="eastAsia" w:ascii="Times New Roman" w:hAnsi="Times New Roman" w:eastAsia="宋体" w:cs="Times New Roman"/>
                <w:b/>
                <w:sz w:val="24"/>
                <w:szCs w:val="24"/>
                <w:lang w:eastAsia="zh-CN"/>
              </w:rPr>
            </w:pPr>
            <w:r>
              <w:rPr>
                <w:rFonts w:hint="eastAsia" w:cs="Times New Roman"/>
                <w:b/>
                <w:sz w:val="24"/>
                <w:szCs w:val="24"/>
                <w:lang w:val="en-US" w:eastAsia="zh-CN"/>
              </w:rPr>
              <w:t>总量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6" w:type="dxa"/>
            <w:vMerge w:val="restart"/>
            <w:noWrap w:val="0"/>
            <w:vAlign w:val="center"/>
          </w:tcPr>
          <w:p>
            <w:pPr>
              <w:pStyle w:val="11"/>
              <w:widowControl w:val="0"/>
              <w:spacing w:after="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大气污染物（有组织）</w:t>
            </w: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颗粒物</w:t>
            </w: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6" w:type="dxa"/>
            <w:vMerge w:val="continue"/>
            <w:noWrap w:val="0"/>
            <w:vAlign w:val="center"/>
          </w:tcPr>
          <w:p>
            <w:pPr>
              <w:pStyle w:val="11"/>
              <w:widowControl w:val="0"/>
              <w:spacing w:after="0"/>
              <w:jc w:val="center"/>
              <w:rPr>
                <w:rFonts w:hint="default" w:ascii="Times New Roman" w:hAnsi="Times New Roman" w:eastAsia="宋体" w:cs="Times New Roman"/>
                <w:sz w:val="24"/>
                <w:szCs w:val="24"/>
              </w:rPr>
            </w:pP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VOCs</w:t>
            </w:r>
          </w:p>
        </w:tc>
        <w:tc>
          <w:tcPr>
            <w:tcW w:w="2557" w:type="dxa"/>
            <w:noWrap w:val="0"/>
            <w:vAlign w:val="center"/>
          </w:tcPr>
          <w:p>
            <w:pPr>
              <w:spacing w:after="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0.0364</w:t>
            </w:r>
          </w:p>
        </w:tc>
      </w:tr>
    </w:tbl>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Times New Roman" w:hAnsi="Times New Roman" w:eastAsia="宋体"/>
          <w:sz w:val="28"/>
          <w:szCs w:val="28"/>
          <w:lang w:val="en-US" w:eastAsia="zh-CN"/>
        </w:rPr>
      </w:pPr>
    </w:p>
    <w:p>
      <w:pPr>
        <w:pStyle w:val="4"/>
        <w:rPr>
          <w:rFonts w:hint="eastAsia" w:ascii="Times New Roman" w:hAnsi="Times New Roman" w:eastAsia="宋体"/>
          <w:sz w:val="28"/>
          <w:szCs w:val="28"/>
          <w:lang w:val="en-US" w:eastAsia="zh-CN"/>
        </w:rPr>
      </w:pPr>
    </w:p>
    <w:p>
      <w:pPr>
        <w:pStyle w:val="4"/>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sz w:val="28"/>
          <w:szCs w:val="28"/>
          <w:lang w:val="en-US" w:eastAsia="zh-CN"/>
        </w:rPr>
        <w:t>由上文可知，变动前后，污染总量没有发生变化，因此属于一般变动。</w:t>
      </w:r>
    </w:p>
    <w:p>
      <w:pPr>
        <w:pStyle w:val="4"/>
        <w:rPr>
          <w:rFonts w:hint="default"/>
          <w:b w:val="0"/>
          <w:bCs/>
          <w:color w:val="000000"/>
          <w:kern w:val="0"/>
          <w:sz w:val="28"/>
          <w:szCs w:val="28"/>
          <w:lang w:val="en-US" w:eastAsia="zh-CN"/>
        </w:rPr>
      </w:pPr>
    </w:p>
    <w:p>
      <w:pPr>
        <w:widowControl/>
        <w:spacing w:line="360" w:lineRule="auto"/>
        <w:jc w:val="left"/>
        <w:rPr>
          <w:rFonts w:hint="default" w:ascii="Times New Roman" w:hAnsi="Times New Roman" w:eastAsia="宋体" w:cs="Times New Roman"/>
          <w:b/>
          <w:bCs/>
          <w:color w:val="4A4949"/>
          <w:kern w:val="0"/>
          <w:sz w:val="28"/>
          <w:szCs w:val="28"/>
        </w:rPr>
      </w:pPr>
      <w:r>
        <w:rPr>
          <w:rFonts w:hint="eastAsia" w:cs="Times New Roman"/>
          <w:b/>
          <w:bCs/>
          <w:color w:val="4A4949"/>
          <w:kern w:val="0"/>
          <w:sz w:val="28"/>
          <w:szCs w:val="28"/>
          <w:lang w:val="en-US" w:eastAsia="zh-CN"/>
        </w:rPr>
        <w:t>2、</w:t>
      </w:r>
      <w:r>
        <w:rPr>
          <w:rFonts w:hint="default" w:ascii="Times New Roman" w:hAnsi="Times New Roman" w:eastAsia="宋体" w:cs="Times New Roman"/>
          <w:b/>
          <w:bCs/>
          <w:color w:val="4A4949"/>
          <w:kern w:val="0"/>
          <w:sz w:val="28"/>
          <w:szCs w:val="28"/>
        </w:rPr>
        <w:t>环境影响要素分析</w:t>
      </w:r>
    </w:p>
    <w:p>
      <w:pPr>
        <w:widowControl/>
        <w:spacing w:line="360" w:lineRule="auto"/>
        <w:ind w:firstLine="560" w:firstLineChars="200"/>
        <w:jc w:val="left"/>
        <w:rPr>
          <w:rFonts w:hint="default" w:ascii="Times New Roman" w:hAnsi="Times New Roman" w:eastAsia="宋体" w:cs="Times New Roman"/>
          <w:color w:val="4A4949"/>
          <w:kern w:val="0"/>
          <w:sz w:val="28"/>
          <w:szCs w:val="28"/>
        </w:rPr>
      </w:pPr>
      <w:r>
        <w:rPr>
          <w:rFonts w:hint="default" w:ascii="Times New Roman" w:hAnsi="Times New Roman" w:eastAsia="宋体" w:cs="Times New Roman"/>
          <w:color w:val="4A4949"/>
          <w:kern w:val="0"/>
          <w:sz w:val="28"/>
          <w:szCs w:val="28"/>
        </w:rPr>
        <w:t>变动后环境影响要素</w:t>
      </w:r>
      <w:r>
        <w:rPr>
          <w:rFonts w:hint="eastAsia" w:cs="Times New Roman"/>
          <w:color w:val="4A4949"/>
          <w:kern w:val="0"/>
          <w:sz w:val="28"/>
          <w:szCs w:val="28"/>
          <w:lang w:val="en-US" w:eastAsia="zh-CN"/>
        </w:rPr>
        <w:t>的影响分析结论</w:t>
      </w:r>
      <w:r>
        <w:rPr>
          <w:rFonts w:hint="default" w:ascii="Times New Roman" w:hAnsi="Times New Roman" w:eastAsia="宋体" w:cs="Times New Roman"/>
          <w:color w:val="4A4949"/>
          <w:kern w:val="0"/>
          <w:sz w:val="28"/>
          <w:szCs w:val="28"/>
        </w:rPr>
        <w:t>不发生变化。</w:t>
      </w:r>
    </w:p>
    <w:p>
      <w:pPr>
        <w:widowControl/>
        <w:spacing w:line="360" w:lineRule="auto"/>
        <w:jc w:val="left"/>
        <w:rPr>
          <w:rFonts w:hint="default" w:ascii="Times New Roman" w:hAnsi="Times New Roman" w:eastAsia="宋体" w:cs="Times New Roman"/>
          <w:b/>
          <w:bCs/>
          <w:color w:val="4A4949"/>
          <w:kern w:val="0"/>
          <w:sz w:val="28"/>
          <w:szCs w:val="28"/>
        </w:rPr>
      </w:pPr>
      <w:r>
        <w:rPr>
          <w:rFonts w:hint="eastAsia" w:cs="Times New Roman"/>
          <w:b/>
          <w:bCs/>
          <w:color w:val="4A4949"/>
          <w:kern w:val="0"/>
          <w:sz w:val="28"/>
          <w:szCs w:val="28"/>
          <w:lang w:val="en-US" w:eastAsia="zh-CN"/>
        </w:rPr>
        <w:t>3</w:t>
      </w:r>
      <w:r>
        <w:rPr>
          <w:rFonts w:hint="default" w:ascii="Times New Roman" w:hAnsi="Times New Roman" w:eastAsia="宋体" w:cs="Times New Roman"/>
          <w:b/>
          <w:bCs/>
          <w:color w:val="4A4949"/>
          <w:kern w:val="0"/>
          <w:sz w:val="28"/>
          <w:szCs w:val="28"/>
        </w:rPr>
        <w:t>、危险物质和环境风险源分析</w:t>
      </w:r>
    </w:p>
    <w:p>
      <w:pPr>
        <w:widowControl/>
        <w:spacing w:line="360" w:lineRule="auto"/>
        <w:ind w:firstLine="560" w:firstLineChars="200"/>
        <w:jc w:val="left"/>
        <w:rPr>
          <w:rFonts w:hint="default" w:ascii="Times New Roman" w:hAnsi="Times New Roman" w:eastAsia="宋体" w:cs="Times New Roman"/>
          <w:color w:val="4A4949"/>
          <w:kern w:val="0"/>
          <w:sz w:val="28"/>
          <w:szCs w:val="28"/>
          <w:lang w:val="en-US" w:eastAsia="zh-CN"/>
        </w:rPr>
      </w:pPr>
      <w:r>
        <w:rPr>
          <w:rFonts w:hint="default" w:ascii="Times New Roman" w:hAnsi="Times New Roman" w:eastAsia="宋体" w:cs="Times New Roman"/>
          <w:b w:val="0"/>
          <w:bCs w:val="0"/>
          <w:color w:val="4A4949"/>
          <w:kern w:val="0"/>
          <w:sz w:val="28"/>
          <w:szCs w:val="28"/>
        </w:rPr>
        <w:t>危险物质和环境风险源</w:t>
      </w:r>
      <w:r>
        <w:rPr>
          <w:rFonts w:hint="eastAsia" w:cs="Times New Roman"/>
          <w:b w:val="0"/>
          <w:bCs w:val="0"/>
          <w:color w:val="4A4949"/>
          <w:kern w:val="0"/>
          <w:sz w:val="28"/>
          <w:szCs w:val="28"/>
          <w:lang w:val="en-US" w:eastAsia="zh-CN"/>
        </w:rPr>
        <w:t>没有发生变化，与环评一致</w:t>
      </w:r>
      <w:r>
        <w:rPr>
          <w:rFonts w:hint="eastAsia" w:cs="Times New Roman"/>
          <w:color w:val="4A4949"/>
          <w:kern w:val="0"/>
          <w:sz w:val="28"/>
          <w:szCs w:val="28"/>
          <w:lang w:val="en-US" w:eastAsia="zh-CN"/>
        </w:rPr>
        <w:t>。</w:t>
      </w:r>
    </w:p>
    <w:p>
      <w:pPr>
        <w:widowControl/>
        <w:spacing w:line="360" w:lineRule="auto"/>
        <w:ind w:firstLine="560" w:firstLineChars="200"/>
        <w:jc w:val="left"/>
        <w:rPr>
          <w:rFonts w:hint="default" w:ascii="Times New Roman" w:hAnsi="Times New Roman" w:eastAsia="宋体" w:cs="Times New Roman"/>
          <w:color w:val="4A4949"/>
          <w:kern w:val="0"/>
          <w:sz w:val="28"/>
          <w:szCs w:val="28"/>
        </w:rPr>
      </w:pPr>
    </w:p>
    <w:p>
      <w:pPr>
        <w:widowControl/>
        <w:spacing w:line="360" w:lineRule="auto"/>
        <w:jc w:val="left"/>
        <w:rPr>
          <w:rFonts w:hint="default" w:ascii="Times New Roman" w:hAnsi="Times New Roman" w:eastAsia="宋体" w:cs="Times New Roman"/>
          <w:b/>
          <w:bCs/>
          <w:color w:val="4A4949"/>
          <w:kern w:val="0"/>
          <w:sz w:val="28"/>
          <w:szCs w:val="28"/>
        </w:rPr>
      </w:pPr>
    </w:p>
    <w:p>
      <w:pPr>
        <w:widowControl/>
        <w:spacing w:line="360" w:lineRule="auto"/>
        <w:jc w:val="left"/>
        <w:rPr>
          <w:rFonts w:hint="default" w:ascii="Times New Roman" w:hAnsi="Times New Roman" w:eastAsia="宋体" w:cs="Times New Roman"/>
          <w:b/>
          <w:bCs/>
          <w:color w:val="4A4949"/>
          <w:kern w:val="0"/>
          <w:sz w:val="28"/>
          <w:szCs w:val="28"/>
        </w:rPr>
      </w:pPr>
    </w:p>
    <w:p>
      <w:pPr>
        <w:widowControl/>
        <w:spacing w:line="360" w:lineRule="auto"/>
        <w:jc w:val="left"/>
        <w:rPr>
          <w:rFonts w:hint="default" w:ascii="Times New Roman" w:hAnsi="Times New Roman" w:eastAsia="宋体" w:cs="Times New Roman"/>
          <w:b/>
          <w:bCs/>
          <w:color w:val="4A4949"/>
          <w:kern w:val="0"/>
          <w:sz w:val="28"/>
          <w:szCs w:val="28"/>
        </w:rPr>
      </w:pPr>
    </w:p>
    <w:p>
      <w:pPr>
        <w:widowControl/>
        <w:spacing w:line="360" w:lineRule="auto"/>
        <w:jc w:val="left"/>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pStyle w:val="17"/>
        <w:rPr>
          <w:rFonts w:hint="default" w:ascii="Times New Roman" w:hAnsi="Times New Roman" w:eastAsia="宋体" w:cs="Times New Roman"/>
          <w:b/>
          <w:bCs/>
          <w:color w:val="4A4949"/>
          <w:kern w:val="0"/>
          <w:sz w:val="28"/>
          <w:szCs w:val="28"/>
        </w:rPr>
      </w:pPr>
    </w:p>
    <w:p>
      <w:pPr>
        <w:widowControl/>
        <w:spacing w:line="360" w:lineRule="auto"/>
        <w:jc w:val="left"/>
        <w:rPr>
          <w:rFonts w:hint="default" w:ascii="Times New Roman" w:hAnsi="Times New Roman" w:eastAsia="宋体" w:cs="Times New Roman"/>
          <w:b/>
          <w:bCs/>
          <w:color w:val="4A4949"/>
          <w:kern w:val="0"/>
          <w:sz w:val="28"/>
          <w:szCs w:val="28"/>
        </w:rPr>
      </w:pPr>
      <w:r>
        <w:rPr>
          <w:rFonts w:hint="default" w:ascii="Times New Roman" w:hAnsi="Times New Roman" w:eastAsia="宋体" w:cs="Times New Roman"/>
          <w:b/>
          <w:bCs/>
          <w:color w:val="4A4949"/>
          <w:kern w:val="0"/>
          <w:sz w:val="28"/>
          <w:szCs w:val="28"/>
        </w:rPr>
        <w:t>四、结论</w:t>
      </w:r>
    </w:p>
    <w:p>
      <w:pPr>
        <w:pStyle w:val="11"/>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sz w:val="28"/>
          <w:szCs w:val="28"/>
        </w:rPr>
      </w:pPr>
      <w:r>
        <w:rPr>
          <w:rFonts w:hint="eastAsia"/>
          <w:sz w:val="28"/>
          <w:szCs w:val="28"/>
          <w:lang w:val="en-US" w:eastAsia="zh-CN"/>
        </w:rPr>
        <w:t>环评结论：综上所述，本项目符合国家产业政策，采用的各项污染防治措施可行，总体上对评价区域环境影响较小，总量可在区域内平衡，因此，从环境保护角度来讲，该项目在拟建地建设时可行的。</w:t>
      </w:r>
    </w:p>
    <w:p>
      <w:pPr>
        <w:keepNext w:val="0"/>
        <w:keepLines w:val="0"/>
        <w:pageBreakBefore w:val="0"/>
        <w:widowControl w:val="0"/>
        <w:tabs>
          <w:tab w:val="left" w:pos="1470"/>
        </w:tabs>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eastAsia" w:cs="Times New Roman"/>
          <w:sz w:val="28"/>
          <w:szCs w:val="28"/>
          <w:lang w:val="en-US" w:eastAsia="zh-CN"/>
        </w:rPr>
        <w:t>发生变动后，环评结论没有发生变化。</w:t>
      </w:r>
    </w:p>
    <w:p>
      <w:pPr>
        <w:widowControl/>
        <w:jc w:val="right"/>
        <w:rPr>
          <w:rFonts w:hint="eastAsia" w:cs="Times New Roman"/>
          <w:color w:val="4A4949"/>
          <w:kern w:val="0"/>
          <w:sz w:val="28"/>
          <w:szCs w:val="28"/>
          <w:lang w:val="en-US" w:eastAsia="zh-CN"/>
        </w:rPr>
      </w:pPr>
    </w:p>
    <w:p>
      <w:pPr>
        <w:widowControl/>
        <w:jc w:val="right"/>
        <w:rPr>
          <w:rFonts w:hint="eastAsia" w:cs="Times New Roman"/>
          <w:color w:val="4A4949"/>
          <w:kern w:val="0"/>
          <w:sz w:val="28"/>
          <w:szCs w:val="28"/>
          <w:lang w:val="en-US" w:eastAsia="zh-CN"/>
        </w:rPr>
      </w:pPr>
    </w:p>
    <w:p>
      <w:pPr>
        <w:widowControl/>
        <w:jc w:val="right"/>
        <w:rPr>
          <w:rFonts w:hint="eastAsia" w:cs="Times New Roman"/>
          <w:color w:val="4A4949"/>
          <w:kern w:val="0"/>
          <w:sz w:val="28"/>
          <w:szCs w:val="28"/>
          <w:lang w:val="en-US" w:eastAsia="zh-CN"/>
        </w:rPr>
      </w:pPr>
      <w:r>
        <w:rPr>
          <w:rFonts w:hint="eastAsia" w:cs="Times New Roman"/>
          <w:color w:val="4A4949"/>
          <w:kern w:val="0"/>
          <w:sz w:val="28"/>
          <w:szCs w:val="28"/>
          <w:lang w:val="en-US" w:eastAsia="zh-CN"/>
        </w:rPr>
        <w:t>南通盛洋电气有限公司</w:t>
      </w:r>
    </w:p>
    <w:p>
      <w:pPr>
        <w:widowControl/>
        <w:jc w:val="right"/>
        <w:rPr>
          <w:rFonts w:hint="default" w:ascii="Times New Roman" w:hAnsi="Times New Roman" w:eastAsia="宋体" w:cs="Times New Roman"/>
          <w:color w:val="4A4949"/>
          <w:kern w:val="0"/>
          <w:sz w:val="28"/>
          <w:szCs w:val="28"/>
        </w:rPr>
      </w:pPr>
      <w:r>
        <w:rPr>
          <w:rFonts w:hint="default" w:ascii="Times New Roman" w:hAnsi="Times New Roman" w:eastAsia="宋体" w:cs="Times New Roman"/>
          <w:color w:val="4A4949"/>
          <w:kern w:val="0"/>
          <w:sz w:val="28"/>
          <w:szCs w:val="28"/>
        </w:rPr>
        <w:t>2021年</w:t>
      </w:r>
      <w:r>
        <w:rPr>
          <w:rFonts w:hint="eastAsia" w:cs="Times New Roman"/>
          <w:color w:val="4A4949"/>
          <w:kern w:val="0"/>
          <w:sz w:val="28"/>
          <w:szCs w:val="28"/>
          <w:lang w:val="en-US" w:eastAsia="zh-CN"/>
        </w:rPr>
        <w:t>11</w:t>
      </w:r>
      <w:r>
        <w:rPr>
          <w:rFonts w:hint="default" w:ascii="Times New Roman" w:hAnsi="Times New Roman" w:eastAsia="宋体" w:cs="Times New Roman"/>
          <w:color w:val="4A4949"/>
          <w:kern w:val="0"/>
          <w:sz w:val="28"/>
          <w:szCs w:val="28"/>
        </w:rPr>
        <w:t>月</w:t>
      </w:r>
      <w:r>
        <w:rPr>
          <w:rFonts w:hint="eastAsia"/>
          <w:sz w:val="28"/>
          <w:szCs w:val="28"/>
          <w:lang w:val="en-US" w:eastAsia="zh-CN"/>
        </w:rPr>
        <w:t>20</w:t>
      </w:r>
      <w:r>
        <w:rPr>
          <w:rFonts w:hint="default" w:ascii="Times New Roman" w:hAnsi="Times New Roman" w:eastAsia="宋体" w:cs="Times New Roman"/>
          <w:color w:val="4A4949"/>
          <w:kern w:val="0"/>
          <w:sz w:val="28"/>
          <w:szCs w:val="28"/>
        </w:rPr>
        <w:t>日</w:t>
      </w:r>
    </w:p>
    <w:p>
      <w:pPr>
        <w:rPr>
          <w:rFonts w:hint="default" w:ascii="Times New Roman" w:hAnsi="Times New Roman" w:eastAsia="宋体" w:cs="Times New Roman"/>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C039E"/>
    <w:multiLevelType w:val="multilevel"/>
    <w:tmpl w:val="778C039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91"/>
    <w:rsid w:val="00067A91"/>
    <w:rsid w:val="000F062C"/>
    <w:rsid w:val="00111CA7"/>
    <w:rsid w:val="00127DA4"/>
    <w:rsid w:val="001B50FB"/>
    <w:rsid w:val="002D41DF"/>
    <w:rsid w:val="003A0C1D"/>
    <w:rsid w:val="0042400B"/>
    <w:rsid w:val="005F29E5"/>
    <w:rsid w:val="00657A04"/>
    <w:rsid w:val="006C4AC0"/>
    <w:rsid w:val="007A1515"/>
    <w:rsid w:val="007C06A7"/>
    <w:rsid w:val="007E6C72"/>
    <w:rsid w:val="00857FC7"/>
    <w:rsid w:val="00873CA5"/>
    <w:rsid w:val="008D62A2"/>
    <w:rsid w:val="00927414"/>
    <w:rsid w:val="009C6B56"/>
    <w:rsid w:val="00B11710"/>
    <w:rsid w:val="00B764FE"/>
    <w:rsid w:val="00C3625C"/>
    <w:rsid w:val="00C77009"/>
    <w:rsid w:val="00EC084B"/>
    <w:rsid w:val="01213AB0"/>
    <w:rsid w:val="0380283E"/>
    <w:rsid w:val="059A6271"/>
    <w:rsid w:val="05B0641C"/>
    <w:rsid w:val="06107102"/>
    <w:rsid w:val="076908B3"/>
    <w:rsid w:val="079743E6"/>
    <w:rsid w:val="08DC2DF0"/>
    <w:rsid w:val="0A150442"/>
    <w:rsid w:val="0A424539"/>
    <w:rsid w:val="0B004A40"/>
    <w:rsid w:val="0D2E19C6"/>
    <w:rsid w:val="0DF40392"/>
    <w:rsid w:val="11F65006"/>
    <w:rsid w:val="127E581E"/>
    <w:rsid w:val="13AD2B5F"/>
    <w:rsid w:val="155D2EAE"/>
    <w:rsid w:val="16050D05"/>
    <w:rsid w:val="18A01635"/>
    <w:rsid w:val="194A3FC1"/>
    <w:rsid w:val="1A1A7FB3"/>
    <w:rsid w:val="1A1F2EA8"/>
    <w:rsid w:val="1A376D43"/>
    <w:rsid w:val="1E470FFD"/>
    <w:rsid w:val="1ED1093C"/>
    <w:rsid w:val="20884494"/>
    <w:rsid w:val="280C7F3A"/>
    <w:rsid w:val="2AC30967"/>
    <w:rsid w:val="2AFA5A2C"/>
    <w:rsid w:val="2BCD48F1"/>
    <w:rsid w:val="2EDB59C8"/>
    <w:rsid w:val="2FAF57FE"/>
    <w:rsid w:val="2FD15995"/>
    <w:rsid w:val="31640A55"/>
    <w:rsid w:val="317F5185"/>
    <w:rsid w:val="32CF41C9"/>
    <w:rsid w:val="32DB1F97"/>
    <w:rsid w:val="33AF5CF3"/>
    <w:rsid w:val="34D40B9B"/>
    <w:rsid w:val="35B03A76"/>
    <w:rsid w:val="37AD026A"/>
    <w:rsid w:val="3BD40CAC"/>
    <w:rsid w:val="418D462A"/>
    <w:rsid w:val="425508BD"/>
    <w:rsid w:val="456A4913"/>
    <w:rsid w:val="45F24205"/>
    <w:rsid w:val="465368E1"/>
    <w:rsid w:val="48753F21"/>
    <w:rsid w:val="488D298E"/>
    <w:rsid w:val="496F4FA6"/>
    <w:rsid w:val="49727329"/>
    <w:rsid w:val="497D1A00"/>
    <w:rsid w:val="4E8C71D7"/>
    <w:rsid w:val="50047257"/>
    <w:rsid w:val="51050378"/>
    <w:rsid w:val="51A355A0"/>
    <w:rsid w:val="5373301B"/>
    <w:rsid w:val="551274E4"/>
    <w:rsid w:val="55694933"/>
    <w:rsid w:val="573C5659"/>
    <w:rsid w:val="59B96717"/>
    <w:rsid w:val="5D0652F0"/>
    <w:rsid w:val="5DC66EE6"/>
    <w:rsid w:val="5E525094"/>
    <w:rsid w:val="5E6276AA"/>
    <w:rsid w:val="5F081FE8"/>
    <w:rsid w:val="5F26394A"/>
    <w:rsid w:val="604B52AC"/>
    <w:rsid w:val="60EC2A0D"/>
    <w:rsid w:val="631F1E59"/>
    <w:rsid w:val="637830F2"/>
    <w:rsid w:val="6482075B"/>
    <w:rsid w:val="6810574D"/>
    <w:rsid w:val="69F1157E"/>
    <w:rsid w:val="6AC804D4"/>
    <w:rsid w:val="6CF95F27"/>
    <w:rsid w:val="6D230C0F"/>
    <w:rsid w:val="6DCF3515"/>
    <w:rsid w:val="6E234DAE"/>
    <w:rsid w:val="6F0B290F"/>
    <w:rsid w:val="6F7368F0"/>
    <w:rsid w:val="70C1565E"/>
    <w:rsid w:val="727F7FC6"/>
    <w:rsid w:val="736E2810"/>
    <w:rsid w:val="739B4217"/>
    <w:rsid w:val="74A31922"/>
    <w:rsid w:val="788E21B7"/>
    <w:rsid w:val="789704BF"/>
    <w:rsid w:val="78A03F29"/>
    <w:rsid w:val="79106300"/>
    <w:rsid w:val="7BC50F3A"/>
    <w:rsid w:val="7D71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3"/>
    <w:qFormat/>
    <w:uiPriority w:val="99"/>
    <w:pPr>
      <w:ind w:firstLine="420" w:firstLineChars="200"/>
    </w:pPr>
    <w:rPr>
      <w:sz w:val="24"/>
      <w:szCs w:val="20"/>
    </w:rPr>
  </w:style>
  <w:style w:type="paragraph" w:styleId="3">
    <w:name w:val="Body Text Indent"/>
    <w:basedOn w:val="1"/>
    <w:link w:val="22"/>
    <w:semiHidden/>
    <w:unhideWhenUsed/>
    <w:qFormat/>
    <w:uiPriority w:val="99"/>
    <w:pPr>
      <w:spacing w:after="120"/>
      <w:ind w:left="420" w:leftChars="200"/>
    </w:pPr>
  </w:style>
  <w:style w:type="paragraph" w:customStyle="1" w:styleId="4">
    <w:name w:val="正文首行缩进  2字符"/>
    <w:basedOn w:val="1"/>
    <w:qFormat/>
    <w:uiPriority w:val="0"/>
    <w:pPr>
      <w:spacing w:line="360" w:lineRule="auto"/>
      <w:ind w:firstLine="480"/>
    </w:pPr>
  </w:style>
  <w:style w:type="paragraph" w:styleId="9">
    <w:name w:val="Normal Indent"/>
    <w:basedOn w:val="1"/>
    <w:qFormat/>
    <w:uiPriority w:val="0"/>
    <w:pPr>
      <w:spacing w:line="440" w:lineRule="exact"/>
      <w:ind w:firstLine="420"/>
    </w:pPr>
    <w:rPr>
      <w:rFonts w:ascii="Bookman Old Style" w:hAnsi="Bookman Old Style"/>
      <w:sz w:val="24"/>
      <w:szCs w:val="20"/>
    </w:rPr>
  </w:style>
  <w:style w:type="paragraph" w:styleId="10">
    <w:name w:val="annotation text"/>
    <w:basedOn w:val="1"/>
    <w:semiHidden/>
    <w:unhideWhenUsed/>
    <w:qFormat/>
    <w:uiPriority w:val="99"/>
    <w:pPr>
      <w:jc w:val="left"/>
    </w:pPr>
  </w:style>
  <w:style w:type="paragraph" w:styleId="11">
    <w:name w:val="Body Text"/>
    <w:basedOn w:val="1"/>
    <w:next w:val="1"/>
    <w:link w:val="21"/>
    <w:qFormat/>
    <w:uiPriority w:val="99"/>
    <w:rPr>
      <w:kern w:val="0"/>
      <w:sz w:val="24"/>
      <w:szCs w:val="20"/>
    </w:rPr>
  </w:style>
  <w:style w:type="paragraph" w:styleId="12">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首行缩进:  2 字符"/>
    <w:basedOn w:val="1"/>
    <w:qFormat/>
    <w:uiPriority w:val="99"/>
    <w:pPr>
      <w:ind w:firstLine="579" w:firstLineChars="200"/>
    </w:pPr>
    <w:rPr>
      <w:rFonts w:ascii="Times New Roman" w:hAnsi="Times New Roman" w:cs="宋体"/>
      <w:szCs w:val="20"/>
    </w:rPr>
  </w:style>
  <w:style w:type="character" w:customStyle="1" w:styleId="18">
    <w:name w:val="页眉 字符"/>
    <w:basedOn w:val="16"/>
    <w:link w:val="13"/>
    <w:qFormat/>
    <w:uiPriority w:val="99"/>
    <w:rPr>
      <w:sz w:val="18"/>
      <w:szCs w:val="18"/>
    </w:rPr>
  </w:style>
  <w:style w:type="character" w:customStyle="1" w:styleId="19">
    <w:name w:val="页脚 字符"/>
    <w:basedOn w:val="16"/>
    <w:link w:val="12"/>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正文文本 字符"/>
    <w:basedOn w:val="16"/>
    <w:link w:val="11"/>
    <w:qFormat/>
    <w:uiPriority w:val="99"/>
    <w:rPr>
      <w:rFonts w:ascii="Times New Roman" w:hAnsi="Times New Roman" w:eastAsia="宋体" w:cs="Times New Roman"/>
      <w:kern w:val="0"/>
      <w:sz w:val="24"/>
      <w:szCs w:val="20"/>
    </w:rPr>
  </w:style>
  <w:style w:type="character" w:customStyle="1" w:styleId="22">
    <w:name w:val="正文文本缩进 字符"/>
    <w:basedOn w:val="16"/>
    <w:link w:val="3"/>
    <w:semiHidden/>
    <w:qFormat/>
    <w:uiPriority w:val="99"/>
    <w:rPr>
      <w:rFonts w:ascii="Times New Roman" w:hAnsi="Times New Roman" w:eastAsia="宋体" w:cs="Times New Roman"/>
      <w:szCs w:val="24"/>
    </w:rPr>
  </w:style>
  <w:style w:type="character" w:customStyle="1" w:styleId="23">
    <w:name w:val="正文文本首行缩进 2 字符"/>
    <w:basedOn w:val="22"/>
    <w:link w:val="2"/>
    <w:qFormat/>
    <w:uiPriority w:val="99"/>
    <w:rPr>
      <w:rFonts w:ascii="Times New Roman" w:hAnsi="Times New Roman" w:eastAsia="宋体" w:cs="Times New Roman"/>
      <w:sz w:val="24"/>
      <w:szCs w:val="20"/>
    </w:rPr>
  </w:style>
  <w:style w:type="paragraph" w:customStyle="1" w:styleId="24">
    <w:name w:val="Table Paragraph"/>
    <w:basedOn w:val="1"/>
    <w:qFormat/>
    <w:uiPriority w:val="1"/>
    <w:rPr>
      <w:rFonts w:ascii="宋体" w:hAnsi="宋体" w:eastAsia="宋体" w:cs="宋体"/>
      <w:lang w:val="zh-CN"/>
    </w:rPr>
  </w:style>
  <w:style w:type="paragraph" w:customStyle="1" w:styleId="25">
    <w:name w:val="表内表"/>
    <w:basedOn w:val="1"/>
    <w:qFormat/>
    <w:uiPriority w:val="0"/>
    <w:pPr>
      <w:spacing w:line="240" w:lineRule="atLeast"/>
      <w:jc w:val="center"/>
    </w:pPr>
    <w:rPr>
      <w:rFonts w:asciiTheme="minorHAnsi" w:hAnsiTheme="minorHAnsi" w:eastAsiaTheme="minorEastAsia" w:cstheme="minorBidi"/>
      <w:bCs/>
      <w:szCs w:val="21"/>
      <w:lang w:val="zh-CN" w:eastAsia="zh-CN"/>
    </w:rPr>
  </w:style>
  <w:style w:type="paragraph" w:customStyle="1" w:styleId="26">
    <w:name w:val="表格"/>
    <w:next w:val="1"/>
    <w:qFormat/>
    <w:uiPriority w:val="0"/>
    <w:pPr>
      <w:spacing w:line="380" w:lineRule="exact"/>
      <w:jc w:val="center"/>
    </w:pPr>
    <w:rPr>
      <w:rFonts w:ascii="Times New Roman" w:hAnsi="宋体" w:eastAsia="Times New Roman" w:cs="Times New Roman"/>
      <w:sz w:val="21"/>
      <w:lang w:val="en-US" w:eastAsia="zh-CN" w:bidi="ar-SA"/>
    </w:rPr>
  </w:style>
  <w:style w:type="character" w:customStyle="1" w:styleId="27">
    <w:name w:val="font1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979</Words>
  <Characters>5586</Characters>
  <Lines>46</Lines>
  <Paragraphs>13</Paragraphs>
  <TotalTime>4</TotalTime>
  <ScaleCrop>false</ScaleCrop>
  <LinksUpToDate>false</LinksUpToDate>
  <CharactersWithSpaces>6552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2021-04-22T04:29:00Z</dcterms:created>
  <dc:creator>陈 晶晶</dc:creator>
  <cp:lastModifiedBy>search酸</cp:lastModifiedBy>
  <dcterms:modified xsi:type="dcterms:W3CDTF">2021-11-19T09:43:44Z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1C963A77F0854E2FA7839968CF0B8763</vt:lpwstr>
  </property>
</Properties>
</file>